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ai-7/30</w:t>
      </w:r>
    </w:p>
    <w:p>
      <w:pPr>
        <w:pStyle w:val="Title"/>
      </w:pPr>
      <w:r>
        <w:t>Writing the methods section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Writing the methods section.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Writing the methods section.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Methods says used AI on data and got good scores; code and split are absent.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detailed methods section can reveal limitations; it does not guarantee a correct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Methods names a dataset and metric, but not whether near-duplicate sources cross the split. What detail matters?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Writing the methods section</w:t>
      </w:r>
    </w:p>
    <w:p>
      <w:r>
        <w:t>Methods that another team can repeat. A paper describes a toy string-classification experiment using a stated length rule.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r>
        <w:t>Apply the inclusive four-character rule to oak, pine and willow. Which label changes under greater-than-four, and what method detail allows another team to reproduce the distinction?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