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ai-7/31</w:t>
      </w:r>
    </w:p>
    <w:p>
      <w:pPr>
        <w:pStyle w:val="Title"/>
      </w:pPr>
      <w:r>
        <w:t>Writing results and limitations</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Writing the methods section</w:t>
      </w:r>
    </w:p>
    <w:p>
      <w:r>
        <w:t>Without opening the old lesson, explain one key idea from Writing the methods section.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Negative results and claim revision</w:t>
      </w:r>
    </w:p>
    <w:p>
      <w:r>
        <w:t>Without opening the old lesson, explain one key idea from Negative results and claim revision.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Running the primary experiment</w:t>
      </w:r>
    </w:p>
    <w:p>
      <w:r>
        <w:t>Without opening the old lesson, explain one key idea from Running the primary experiment.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Writing results and limitations.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Writing results and limitations.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Candidate10/15, baseline9/15; no timings measured. Write result and two limits.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B passes9/12, A8/12; three B failures all concern conflicting sources. No user study occurred.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limitation should directly bound the corresponding claim rather than contradict an oversized headline.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Candidate10/15, baseline9/15; no timings measured. Write result and two limits.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writing results and limitations evidence sheet to Reproducible AI Research Study. Show how you can explain the mechanism and terminology of writing results and limitations.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Writing results and limitations</w:t>
      </w:r>
    </w:p>
    <w:p>
      <w:r>
        <w:t>Write results without enlarging them. A fictional study evaluates answer support on twelve fixed questions from one approved collection.</w:t>
      </w:r>
    </w:p>
    <w:p>
      <w:r>
        <w:t>A supports 9/12 answers; B supports 10/12. No user learning outcomes are recorded.</w:t>
      </w:r>
    </w:p>
    <w:p>
      <w:r>
        <w:drawing>
          <wp:inline xmlns:a="http://schemas.openxmlformats.org/drawingml/2006/main" xmlns:pic="http://schemas.openxmlformats.org/drawingml/2006/picture">
            <wp:extent cx="5486400" cy="2641600"/>
            <wp:docPr id="1" name="Picture 1" descr="Supported answers in one collection"/>
            <wp:cNvGraphicFramePr>
              <a:graphicFrameLocks noChangeAspect="1"/>
            </wp:cNvGraphicFramePr>
            <a:graphic>
              <a:graphicData uri="http://schemas.openxmlformats.org/drawingml/2006/picture">
                <pic:pic>
                  <pic:nvPicPr>
                    <pic:cNvPr id="0" name="academy-detail-ai-7-31.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Writing results and limitations. Report the observation: A is 75%; B is about 83.3%, a one-case improvement.. Link to the method: Name the collection, rubric and twelve-case denominator.. State limits: Do not infer that children learn more from this answer-support measure."/>
            <wp:cNvGraphicFramePr>
              <a:graphicFrameLocks noChangeAspect="1"/>
            </wp:cNvGraphicFramePr>
            <a:graphic>
              <a:graphicData uri="http://schemas.openxmlformats.org/drawingml/2006/picture">
                <pic:pic>
                  <pic:nvPicPr>
                    <pic:cNvPr id="0" name="academy-visual-ai-7-31.png"/>
                    <pic:cNvPicPr/>
                  </pic:nvPicPr>
                  <pic:blipFill>
                    <a:blip r:embed="rId10"/>
                    <a:stretch>
                      <a:fillRect/>
                    </a:stretch>
                  </pic:blipFill>
                  <pic:spPr>
                    <a:xfrm>
                      <a:off x="0" y="0"/>
                      <a:ext cx="5486400" cy="5185229"/>
                    </a:xfrm>
                    <a:prstGeom prst="rect"/>
                  </pic:spPr>
                </pic:pic>
              </a:graphicData>
            </a:graphic>
          </wp:inline>
        </w:drawing>
      </w:r>
    </w:p>
    <w:p>
      <w:r>
        <w:t>Compute the supported-answer rates for 9/12 and 10/12. What actual outcome was measured, and why is a claim that every student becomes smarter outside this evidence?</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