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ai-2/8</w:t>
      </w:r>
    </w:p>
    <w:p>
      <w:pPr>
        <w:pStyle w:val="Title"/>
      </w:pPr>
      <w:r>
        <w:t>Operational Labels</w:t>
      </w:r>
    </w:p>
    <w:p>
      <w:r>
        <w:t>Project: Transparent Book Recommender</w:t>
      </w:r>
    </w:p>
    <w:p>
      <w:pPr>
        <w:pStyle w:val="Heading1"/>
      </w:pPr>
      <w:r>
        <w:t>Before you start</w:t>
      </w:r>
    </w:p>
    <w:p>
      <w:r>
        <w:t>Week 3: boundary operators have exact meanings.</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Rows Columns and Data Types. Give an example and a mistake that the idea helps you avoid.</w:t>
      </w:r>
    </w:p>
    <w:p>
      <w:r>
        <w:t>Without opening the old lesson, explain one key idea from Loops and Stopping.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8: Operational Labels</w:t>
      </w:r>
    </w:p>
    <w:p>
      <w:r>
        <w:t>A label is reliable only when different people can apply its definition consistently.</w:t>
      </w:r>
    </w:p>
    <w:p>
      <w:r>
        <w:drawing>
          <wp:inline xmlns:a="http://schemas.openxmlformats.org/drawingml/2006/main" xmlns:pic="http://schemas.openxmlformats.org/drawingml/2006/picture">
            <wp:extent cx="2942705" cy="2942705"/>
            <wp:docPr id="1" name="Picture 1" descr="Week 8 illustration: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THINKER MISSION</w:t>
      </w:r>
    </w:p>
    <w:p>
      <w:r>
        <w:t>Write and test definitions for ‘easy book’ and ‘hard book.’</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resolve label disagreement by checking an operational definition at equality.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operational labels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perational Labels"/>
            <wp:cNvGraphicFramePr>
              <a:graphicFrameLocks noChangeAspect="1"/>
            </wp:cNvGraphicFramePr>
            <a:graphic>
              <a:graphicData uri="http://schemas.openxmlformats.org/drawingml/2006/picture">
                <pic:pic>
                  <pic:nvPicPr>
                    <pic:cNvPr id="0" name="3bded012f7a7254ed5a52d2cc267a87c9c9631b5783ebe80aaa646eaba0215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perational Labels"/>
            <wp:cNvGraphicFramePr>
              <a:graphicFrameLocks noChangeAspect="1"/>
            </wp:cNvGraphicFramePr>
            <a:graphic>
              <a:graphicData uri="http://schemas.openxmlformats.org/drawingml/2006/picture">
                <pic:pic>
                  <pic:nvPicPr>
                    <pic:cNvPr id="0" name="218912def129df1b3eafa7bab1325f0af39003158a8ce172efae18bb24cfc5c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perational Labels"/>
            <wp:cNvGraphicFramePr>
              <a:graphicFrameLocks noChangeAspect="1"/>
            </wp:cNvGraphicFramePr>
            <a:graphic>
              <a:graphicData uri="http://schemas.openxmlformats.org/drawingml/2006/picture">
                <pic:pic>
                  <pic:nvPicPr>
                    <pic:cNvPr id="0" name="9fd4bc6c116d5a1983c9c07039c14e2e85fbb119fa2c5d8d533eefea2554673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bel"/>
            <wp:cNvGraphicFramePr>
              <a:graphicFrameLocks noChangeAspect="1"/>
            </wp:cNvGraphicFramePr>
            <a:graphic>
              <a:graphicData uri="http://schemas.openxmlformats.org/drawingml/2006/picture">
                <pic:pic>
                  <pic:nvPicPr>
                    <pic:cNvPr id="0" name="3afb1800c57cf7a4ff9d8b2980ac048f0f2c9562acea4119c32abcc6c7523e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perational definition"/>
            <wp:cNvGraphicFramePr>
              <a:graphicFrameLocks noChangeAspect="1"/>
            </wp:cNvGraphicFramePr>
            <a:graphic>
              <a:graphicData uri="http://schemas.openxmlformats.org/drawingml/2006/picture">
                <pic:pic>
                  <pic:nvPicPr>
                    <pic:cNvPr id="0" name="737951616e50b727b1bb392f226e9e2ddf7b89344909af5dc89da3fb4789dba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greement"/>
            <wp:cNvGraphicFramePr>
              <a:graphicFrameLocks noChangeAspect="1"/>
            </wp:cNvGraphicFramePr>
            <a:graphic>
              <a:graphicData uri="http://schemas.openxmlformats.org/drawingml/2006/picture">
                <pic:pic>
                  <pic:nvPicPr>
                    <pic:cNvPr id="0" name="395e6d46362349de1b435d0348b7ffc4320f978d1c25c56a36001ede0411409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mbiguous"/>
            <wp:cNvGraphicFramePr>
              <a:graphicFrameLocks noChangeAspect="1"/>
            </wp:cNvGraphicFramePr>
            <a:graphic>
              <a:graphicData uri="http://schemas.openxmlformats.org/drawingml/2006/picture">
                <pic:pic>
                  <pic:nvPicPr>
                    <pic:cNvPr id="0" name="195ece1a1169e74f44f86e0977f97319f25e12779016567bfbd153e9c18e742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label</w:t>
            </w:r>
          </w:p>
        </w:tc>
        <w:tc>
          <w:tcPr>
            <w:tcW w:type="dxa" w:w="3408"/>
          </w:tcPr>
          <w:p>
            <w:r>
              <w:t>The recorded target category or value attached to an example.</w:t>
            </w:r>
          </w:p>
        </w:tc>
        <w:tc>
          <w:tcPr>
            <w:tcW w:type="dxa" w:w="3408"/>
          </w:tcPr>
          <w:p>
            <w:r/>
          </w:p>
        </w:tc>
      </w:tr>
      <w:tr>
        <w:tc>
          <w:tcPr>
            <w:tcW w:type="dxa" w:w="3408"/>
          </w:tcPr>
          <w:p>
            <w:r>
              <w:t>operational definition</w:t>
            </w:r>
          </w:p>
        </w:tc>
        <w:tc>
          <w:tcPr>
            <w:tcW w:type="dxa" w:w="3408"/>
          </w:tcPr>
          <w:p>
            <w:r>
              <w:t>A precise rule explaining how a concept will be observed, measured or labelled in this activity.</w:t>
            </w:r>
          </w:p>
        </w:tc>
        <w:tc>
          <w:tcPr>
            <w:tcW w:type="dxa" w:w="3408"/>
          </w:tcPr>
          <w:p>
            <w:r/>
          </w:p>
        </w:tc>
      </w:tr>
      <w:tr>
        <w:tc>
          <w:tcPr>
            <w:tcW w:type="dxa" w:w="3408"/>
          </w:tcPr>
          <w:p>
            <w:r>
              <w:t>agreement</w:t>
            </w:r>
          </w:p>
        </w:tc>
        <w:tc>
          <w:tcPr>
            <w:tcW w:type="dxa" w:w="3408"/>
          </w:tcPr>
          <w:p>
            <w:r>
              <w:t>How often two judgments match; matching judgments can still both be wrong.</w:t>
            </w:r>
          </w:p>
        </w:tc>
        <w:tc>
          <w:tcPr>
            <w:tcW w:type="dxa" w:w="3408"/>
          </w:tcPr>
          <w:p>
            <w:r/>
          </w:p>
        </w:tc>
      </w:tr>
      <w:tr>
        <w:tc>
          <w:tcPr>
            <w:tcW w:type="dxa" w:w="3408"/>
          </w:tcPr>
          <w:p>
            <w:r>
              <w:t>ambiguous</w:t>
            </w:r>
          </w:p>
        </w:tc>
        <w:tc>
          <w:tcPr>
            <w:tcW w:type="dxa" w:w="3408"/>
          </w:tcPr>
          <w:p>
            <w:r>
              <w:t>Having more than one reasonable interpretation given the available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Operational Labels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Weak label: ‘easy book.’</w:t>
            </w:r>
          </w:p>
        </w:tc>
      </w:tr>
      <w:tr>
        <w:tc>
          <w:tcPr>
            <w:tcW w:type="dxa" w:w="792"/>
          </w:tcPr>
          <w:p>
            <w:r>
              <w:t>2</w:t>
            </w:r>
          </w:p>
        </w:tc>
        <w:tc>
          <w:tcPr>
            <w:tcW w:type="dxa" w:w="9432"/>
          </w:tcPr>
          <w:p>
            <w:r>
              <w:t>Operational rule: easy for this reader if difficulty level ≤ 2 and unfamiliar words per page ≤ 3.</w:t>
            </w:r>
          </w:p>
        </w:tc>
      </w:tr>
      <w:tr>
        <w:tc>
          <w:tcPr>
            <w:tcW w:type="dxa" w:w="792"/>
          </w:tcPr>
          <w:p>
            <w:r>
              <w:t>3</w:t>
            </w:r>
          </w:p>
        </w:tc>
        <w:tc>
          <w:tcPr>
            <w:tcW w:type="dxa" w:w="9432"/>
          </w:tcPr>
          <w:p>
            <w:r>
              <w:t>Two labelers test the same 8 books.</w:t>
            </w:r>
          </w:p>
        </w:tc>
      </w:tr>
      <w:tr>
        <w:tc>
          <w:tcPr>
            <w:tcW w:type="dxa" w:w="792"/>
          </w:tcPr>
          <w:p>
            <w:r>
              <w:t>4</w:t>
            </w:r>
          </w:p>
        </w:tc>
        <w:tc>
          <w:tcPr>
            <w:tcW w:type="dxa" w:w="9432"/>
          </w:tcPr>
          <w:p>
            <w:r>
              <w:t>Agreement of 7/8 identifies one disagreement to review. Check the source, each annotator’s application and the label rule before choosing a repair.</w:t>
            </w:r>
          </w:p>
        </w:tc>
      </w:tr>
    </w:tbl>
    <w:p>
      <w:r>
        <w:t>Trace these corrected steps. Keep the stated metric, assumptions and interpretation when you change the case.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4" name="Picture 14"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2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5" name="Picture 15"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r>
        <w:t>Read the labelled picture: Why can we not resolve the disagreement merely by taking a majority of reviewers?</w:t>
      </w:r>
    </w:p>
    <w:p>
      <w:r>
        <w:t>Change one thing: Change the documented policy to fewer than 80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Operational Labels"/>
            <wp:cNvGraphicFramePr>
              <a:graphicFrameLocks noChangeAspect="1"/>
            </wp:cNvGraphicFramePr>
            <a:graphic>
              <a:graphicData uri="http://schemas.openxmlformats.org/drawingml/2006/picture">
                <pic:pic>
                  <pic:nvPicPr>
                    <pic:cNvPr id="0" name="3bb98aa99d722f5d0ec5e7ae2767de31cd9499fd53c4a8ff077de35ec7ee9f2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Operational Labe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not resolve the disagreement merely by taking a majority of reviewers?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Operational Labels"/>
            <wp:cNvGraphicFramePr>
              <a:graphicFrameLocks noChangeAspect="1"/>
            </wp:cNvGraphicFramePr>
            <a:graphic>
              <a:graphicData uri="http://schemas.openxmlformats.org/drawingml/2006/picture">
                <pic:pic>
                  <pic:nvPicPr>
                    <pic:cNvPr id="0" name="7d3517ae42989911f2a77de1acec6b37c0c08cc6e496768d9f47122001237176.png"/>
                    <pic:cNvPicPr/>
                  </pic:nvPicPr>
                  <pic:blipFill>
                    <a:blip r:embed="rId25"/>
                    <a:stretch>
                      <a:fillRect/>
                    </a:stretch>
                  </pic:blipFill>
                  <pic:spPr>
                    <a:xfrm>
                      <a:off x="0" y="0"/>
                      <a:ext cx="5486400" cy="1901952"/>
                    </a:xfrm>
                    <a:prstGeom prst="rect"/>
                  </pic:spPr>
                </pic:pic>
              </a:graphicData>
            </a:graphic>
          </wp:inline>
        </w:drawing>
      </w:r>
    </w:p>
    <w:p>
      <w:r>
        <w:t>Pairs label the same cards independently, compare, calculate matches/total, discuss disagreements, and revise only the unclear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Operational Labe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Operational Labels"/>
            <wp:cNvGraphicFramePr>
              <a:graphicFrameLocks noChangeAspect="1"/>
            </wp:cNvGraphicFramePr>
            <a:graphic>
              <a:graphicData uri="http://schemas.openxmlformats.org/drawingml/2006/picture">
                <pic:pic>
                  <pic:nvPicPr>
                    <pic:cNvPr id="0" name="73852df20d65acef2ca58c52b1d2cc8579f8313b089db98ff27350691dc4e8c9.png"/>
                    <pic:cNvPicPr/>
                  </pic:nvPicPr>
                  <pic:blipFill>
                    <a:blip r:embed="rId27"/>
                    <a:stretch>
                      <a:fillRect/>
                    </a:stretch>
                  </pic:blipFill>
                  <pic:spPr>
                    <a:xfrm>
                      <a:off x="0" y="0"/>
                      <a:ext cx="5486400" cy="1901952"/>
                    </a:xfrm>
                    <a:prstGeom prst="rect"/>
                  </pic:spPr>
                </pic:pic>
              </a:graphicData>
            </a:graphic>
          </wp:inline>
        </w:drawing>
      </w:r>
    </w:p>
    <w:p>
      <w:r>
        <w:t>THIS WEEK’S CHECKPOINT  Define ‘good match’ before training or evaluating the recommender.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Transparent Book Recommender metadata labels explicit definitions and boundary examples for reviewers.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Operational Labels"/>
            <wp:cNvGraphicFramePr>
              <a:graphicFrameLocks noChangeAspect="1"/>
            </wp:cNvGraphicFramePr>
            <a:graphic>
              <a:graphicData uri="http://schemas.openxmlformats.org/drawingml/2006/picture">
                <pic:pic>
                  <pic:nvPicPr>
                    <pic:cNvPr id="0" name="fafc6c1bb9697fd5df268815d5c6a2a46673e9cd3aef58eb88f4efeb08ecec88.png"/>
                    <pic:cNvPicPr/>
                  </pic:nvPicPr>
                  <pic:blipFill>
                    <a:blip r:embed="rId28"/>
                    <a:stretch>
                      <a:fillRect/>
                    </a:stretch>
                  </pic:blipFill>
                  <pic:spPr>
                    <a:xfrm>
                      <a:off x="0" y="0"/>
                      <a:ext cx="5486400" cy="1901952"/>
                    </a:xfrm>
                    <a:prstGeom prst="rect"/>
                  </pic:spPr>
                </pic:pic>
              </a:graphicData>
            </a:graphic>
          </wp:inline>
        </w:drawing>
      </w:r>
    </w:p>
    <w:p>
      <w:r>
        <w:t>CHALLENGE  Write and test definitions for ‘easy book’ and ‘hard book.’</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Short means fewer than 100 pages. Two annotators disagree about a 100-page book.</w:t>
      </w:r>
    </w:p>
    <w:p>
      <w:pPr>
        <w:pStyle w:val="Heading3"/>
      </w:pPr>
      <w:r>
        <w:t>The question</w:t>
      </w:r>
    </w:p>
    <w:p>
      <w:r>
        <w:t>Resolve the label.</w:t>
      </w:r>
    </w:p>
    <w:p>
      <w:pPr>
        <w:pStyle w:val="Heading3"/>
      </w:pPr>
      <w:r>
        <w:t>Worked explanation</w:t>
      </w:r>
    </w:p>
    <w:p>
      <w:r>
        <w:t>It is not Short under the stated definition. Agree operational boundaries before labelling.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Define Short before labelling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Short</w:t>
            </w:r>
          </w:p>
        </w:tc>
      </w:tr>
      <w:tr>
        <w:tc>
          <w:tcPr>
            <w:tcW w:type="dxa" w:w="5112"/>
          </w:tcPr>
          <w:p>
            <w:r>
              <w:t>100 pages</w:t>
            </w:r>
          </w:p>
        </w:tc>
        <w:tc>
          <w:tcPr>
            <w:tcW w:type="dxa" w:w="5112"/>
          </w:tcPr>
          <w:p>
            <w:r>
              <w:t>Not Short</w:t>
            </w:r>
          </w:p>
        </w:tc>
      </w:tr>
      <w:tr>
        <w:tc>
          <w:tcPr>
            <w:tcW w:type="dxa" w:w="5112"/>
          </w:tcPr>
          <w:p>
            <w:r>
              <w:t>101 pages</w:t>
            </w:r>
          </w:p>
        </w:tc>
        <w:tc>
          <w:tcPr>
            <w:tcW w:type="dxa" w:w="5112"/>
          </w:tcPr>
          <w:p>
            <w:r>
              <w:t>Not Short</w:t>
            </w:r>
          </w:p>
        </w:tc>
      </w:tr>
    </w:tbl>
    <w:p>
      <w:r>
        <w:t>Short means fewer than 100 pages. Two annotators disagree about a 100-page book.</w:t>
      </w:r>
    </w:p>
    <w:p>
      <w:r>
        <w:t>Resolve the label.</w:t>
      </w:r>
    </w:p>
    <w:p>
      <w:r>
        <w:t>It is not Short under the stated definition. Agree operational boundaries before labelling.</w:t>
      </w:r>
    </w:p>
    <w:p>
      <w:pPr>
        <w:pStyle w:val="Heading1"/>
      </w:pPr>
      <w:r>
        <w:t>14. Try a new case independently</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Use a clear label rule: short means 80 pages or fewer. Two judges label an 80-page book differently. What shared instruction resolves this disagreement?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‘good match’ before training or evaluating the recommender.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use 'short' to mean pages&lt;100 and pages&lt;=100. They disagree only on 100-page books. Write a shared definition and explain how to repair the existing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catalogue reviewers label books compact or extended.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category definition using explicit evidence and boundary rules</w:t>
            </w:r>
          </w:p>
        </w:tc>
        <w:tc>
          <w:tcPr>
            <w:tcW w:type="dxa" w:w="5112"/>
          </w:tcPr>
          <w:p>
            <w:r>
              <w:t>Explain the deciding step, show a trace or test, and state one limit.</w:t>
            </w:r>
          </w:p>
        </w:tc>
      </w:tr>
      <w:tr>
        <w:tc>
          <w:tcPr>
            <w:tcW w:type="dxa" w:w="5112"/>
          </w:tcPr>
          <w:p>
            <w:r>
              <w:t>Distinguish a known failure from information that is missing or unreadable</w:t>
            </w:r>
          </w:p>
        </w:tc>
        <w:tc>
          <w:tcPr>
            <w:tcW w:type="dxa" w:w="5112"/>
          </w:tcPr>
          <w:p>
            <w:r>
              <w:t>Explain the deciding step, show a trace or test, and state one limit.</w:t>
            </w:r>
          </w:p>
        </w:tc>
      </w:tr>
      <w:tr>
        <w:tc>
          <w:tcPr>
            <w:tcW w:type="dxa" w:w="5112"/>
          </w:tcPr>
          <w:p>
            <w:r>
              <w:t>Use disagreement to improve a labelling guide without mistaking agreement for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category definition using explicit evidence and boundary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