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ai-2/34</w:t>
      </w:r>
    </w:p>
    <w:p>
      <w:pPr>
        <w:pStyle w:val="Title"/>
      </w:pPr>
      <w:r>
        <w:t>Test Diverse Users</w:t>
      </w:r>
    </w:p>
    <w:p>
      <w:r>
        <w:t>Project: Transparent Book Recommender</w:t>
      </w:r>
    </w:p>
    <w:p>
      <w:pPr>
        <w:pStyle w:val="Heading1"/>
      </w:pPr>
      <w:r>
        <w:t>Before you start</w:t>
      </w:r>
    </w:p>
    <w:p>
      <w:r>
        <w:t>Week 24: rates need the relevant denominators.</w:t>
      </w:r>
    </w:p>
    <w:p>
      <w:pPr>
        <w:pStyle w:val="Heading1"/>
      </w:pPr>
      <w:r>
        <w:t>01. Your mission</w:t>
      </w:r>
    </w:p>
    <w:p>
      <w:pPr>
        <w:pStyle w:val="Heading3"/>
      </w:pPr>
      <w:r>
        <w:t>Your learning target</w:t>
      </w:r>
    </w:p>
    <w:p>
      <w:r>
        <w:t>I can evaluate across varied cases.</w:t>
      </w:r>
    </w:p>
    <w:p>
      <w:r>
        <w:t>I can report failures with their denominators.</w:t>
      </w:r>
    </w:p>
    <w:p>
      <w:r>
        <w:t>I can separate development evidence from final checks.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Build the Recommender. Give an example and a mistake that the idea helps you avoid.</w:t>
      </w:r>
    </w:p>
    <w:p>
      <w:r>
        <w:t>Without opening the old lesson, explain one key idea from Permissions and Human Review. Give an example and a mistake that the idea helps you avoid.</w:t>
      </w:r>
    </w:p>
    <w:p>
      <w:r>
        <w:t>Without opening the old lesson, explain one key idea from Prompt Experiments. Give an example and a mistake that the idea helps you avoid.</w:t>
      </w:r>
    </w:p>
    <w:p>
      <w:r>
        <w:t>After trying, check the relevant lesson or ask your teacher. Change the part of your explanation that the evidence shows was wrong.</w:t>
      </w:r>
    </w:p>
    <w:p>
      <w:r>
        <w:t>Week 34: Test Diverse Users</w:t>
      </w:r>
    </w:p>
    <w:p>
      <w:r>
        <w:t>Evaluation must include ordinary, edge, and underserved cases.</w:t>
      </w:r>
    </w:p>
    <w:p>
      <w:r>
        <w:drawing>
          <wp:inline xmlns:a="http://schemas.openxmlformats.org/drawingml/2006/main" xmlns:pic="http://schemas.openxmlformats.org/drawingml/2006/picture">
            <wp:extent cx="2942705" cy="2942705"/>
            <wp:docPr id="1" name="Picture 1" descr="Week 34 illustration: Test Diverse Users"/>
            <wp:cNvGraphicFramePr>
              <a:graphicFrameLocks noChangeAspect="1"/>
            </wp:cNvGraphicFramePr>
            <a:graphic>
              <a:graphicData uri="http://schemas.openxmlformats.org/drawingml/2006/picture">
                <pic:pic>
                  <pic:nvPicPr>
                    <pic:cNvPr id="0" name="6900fa34edcb7dc31d0943a3ae2da1eb8b6f6fc6d4b3fae1d450a36872e82384.png"/>
                    <pic:cNvPicPr/>
                  </pic:nvPicPr>
                  <pic:blipFill>
                    <a:blip r:embed="rId9"/>
                    <a:stretch>
                      <a:fillRect/>
                    </a:stretch>
                  </pic:blipFill>
                  <pic:spPr>
                    <a:xfrm>
                      <a:off x="0" y="0"/>
                      <a:ext cx="2942705" cy="2942705"/>
                    </a:xfrm>
                    <a:prstGeom prst="rect"/>
                  </pic:spPr>
                </pic:pic>
              </a:graphicData>
            </a:graphic>
          </wp:inline>
        </w:drawing>
      </w:r>
    </w:p>
    <w:p>
      <w:r>
        <w:t>THINKER MISSION</w:t>
      </w:r>
    </w:p>
    <w:p>
      <w:r>
        <w:t>Run four user profiles; log errors and fairness concerns.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If final cases guide a code change, are they still untouched evaluation cases?</w:t>
      </w:r>
    </w:p>
    <w:p>
      <w:pPr>
        <w:pStyle w:val="Heading3"/>
      </w:pPr>
      <w:r>
        <w:t>This week’s end goal</w:t>
      </w:r>
    </w:p>
    <w:p>
      <w:r>
        <w:t>By the end, I can evaluate varied case types and prioritise an important failure slice.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est Diverse Users"/>
            <wp:cNvGraphicFramePr>
              <a:graphicFrameLocks noChangeAspect="1"/>
            </wp:cNvGraphicFramePr>
            <a:graphic>
              <a:graphicData uri="http://schemas.openxmlformats.org/drawingml/2006/picture">
                <pic:pic>
                  <pic:nvPicPr>
                    <pic:cNvPr id="0" name="6900fa34edcb7dc31d0943a3ae2da1eb8b6f6fc6d4b3fae1d450a36872e82384.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test diverse users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chooser passes 5 of 6 development checks but fails its only tie case. An overall pass rate can hide that concentrated weakness. Evaluate ordinary, boundary, invalid, empty and tie cases separately, using requirements rather than duplicated versions of one easy example.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est Diverse Users"/>
            <wp:cNvGraphicFramePr>
              <a:graphicFrameLocks noChangeAspect="1"/>
            </wp:cNvGraphicFramePr>
            <a:graphic>
              <a:graphicData uri="http://schemas.openxmlformats.org/drawingml/2006/picture">
                <pic:pic>
                  <pic:nvPicPr>
                    <pic:cNvPr id="0" name="c9da4503a7f613e9c4c7d643d349fd77667f373b1bf3541a9c2858ea60d0dc10.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est Diverse Users"/>
            <wp:cNvGraphicFramePr>
              <a:graphicFrameLocks noChangeAspect="1"/>
            </wp:cNvGraphicFramePr>
            <a:graphic>
              <a:graphicData uri="http://schemas.openxmlformats.org/drawingml/2006/picture">
                <pic:pic>
                  <pic:nvPicPr>
                    <pic:cNvPr id="0" name="8ceea9c0d8ca629033989e2dd5a1a6b090e509e87fe0eaadfd8c2d881d0a95ea.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est Diverse Users"/>
            <wp:cNvGraphicFramePr>
              <a:graphicFrameLocks noChangeAspect="1"/>
            </wp:cNvGraphicFramePr>
            <a:graphic>
              <a:graphicData uri="http://schemas.openxmlformats.org/drawingml/2006/picture">
                <pic:pic>
                  <pic:nvPicPr>
                    <pic:cNvPr id="0" name="eca4dfbcfaba9949d3497e99eeee25e64473a09a906002a1555a821bbcf23382.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checks = [{"category": "ordinary", "passed": True},</w:t>
        <w:br/>
        <w:t xml:space="preserve">          {"category": "ordinary", "passed": True},</w:t>
        <w:br/>
        <w:t xml:space="preserve">          {"category": "boundary", "passed": True},</w:t>
        <w:br/>
        <w:t xml:space="preserve">          {"category": "invalid", "passed": True},</w:t>
        <w:br/>
        <w:t xml:space="preserve">          {"category": "empty", "passed": True},</w:t>
        <w:br/>
        <w:t xml:space="preserve">          {"category": "tie", "passed": False}]</w:t>
        <w:br/>
        <w:t>passed = 0</w:t>
        <w:br/>
        <w:t>for check in checks:</w:t>
        <w:br/>
        <w:t xml:space="preserve">    if check["passed"]:</w:t>
        <w:br/>
        <w:t xml:space="preserve">        passed = passed + 1</w:t>
        <w:br/>
        <w:t>print(passed, len(checks))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Overall</w:t>
            </w:r>
          </w:p>
        </w:tc>
        <w:tc>
          <w:tcPr>
            <w:tcW w:type="dxa" w:w="3408"/>
          </w:tcPr>
          <w:p>
            <w:r>
              <w:t>5 of 6</w:t>
            </w:r>
          </w:p>
        </w:tc>
        <w:tc>
          <w:tcPr>
            <w:tcW w:type="dxa" w:w="3408"/>
          </w:tcPr>
          <w:p>
            <w:r>
              <w:t>One failure remains</w:t>
            </w:r>
          </w:p>
        </w:tc>
      </w:tr>
      <w:tr>
        <w:tc>
          <w:tcPr>
            <w:tcW w:type="dxa" w:w="3408"/>
          </w:tcPr>
          <w:p>
            <w:r>
              <w:t>Tie category</w:t>
            </w:r>
          </w:p>
        </w:tc>
        <w:tc>
          <w:tcPr>
            <w:tcW w:type="dxa" w:w="3408"/>
          </w:tcPr>
          <w:p>
            <w:r>
              <w:t>0 of 1</w:t>
            </w:r>
          </w:p>
        </w:tc>
        <w:tc>
          <w:tcPr>
            <w:tcW w:type="dxa" w:w="3408"/>
          </w:tcPr>
          <w:p>
            <w:r>
              <w:t>Known weakness</w:t>
            </w:r>
          </w:p>
        </w:tc>
      </w:tr>
      <w:tr>
        <w:tc>
          <w:tcPr>
            <w:tcW w:type="dxa" w:w="3408"/>
          </w:tcPr>
          <w:p>
            <w:r>
              <w:t>Other categories</w:t>
            </w:r>
          </w:p>
        </w:tc>
        <w:tc>
          <w:tcPr>
            <w:tcW w:type="dxa" w:w="3408"/>
          </w:tcPr>
          <w:p>
            <w:r>
              <w:t>Limited cases</w:t>
            </w:r>
          </w:p>
        </w:tc>
        <w:tc>
          <w:tcPr>
            <w:tcW w:type="dxa" w:w="3408"/>
          </w:tcPr>
          <w:p>
            <w:r>
              <w:t>No universal guarantee</w:t>
            </w:r>
          </w:p>
        </w:tc>
      </w:tr>
    </w:tbl>
    <w:p>
      <w:r>
        <w:t>Read each row from left to right and connect the evidence to the stated rule.</w:t>
      </w:r>
    </w:p>
    <w:p>
      <w:r>
        <w:t>The script reports 5 and 6. About 83.3 percent of these checks pass, but that is not an accuracy estimate for all future use. The cases were deliberately chosen, their frequencies are artificial, and each category has few cases.</w:t>
      </w:r>
    </w:p>
    <w:p>
      <w:pPr>
        <w:pStyle w:val="Heading3"/>
      </w:pPr>
      <w:r>
        <w:t>Look inside the overall result</w:t>
      </w:r>
    </w:p>
    <w:p>
      <w:r>
        <w:t>The six development checks include ordinary, boundary, invalid, empty and tie cases. Five pass, but the only tie case fails. Saying five out of six pass is true; saying the tie rule works is false. Keep both statements visible. A category table helps you choose the next repair. Adding many copies of passing ordinary cases can raise the overall fraction without checking a new condition or fixing the failed requirement.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Someone reports only the ordinary slice.</w:t>
      </w:r>
    </w:p>
    <w:p>
      <w:r>
        <w:t>Prediction: The claim becomes 4/4 on ordinary cases, not 100% across all tests.</w:t>
      </w:r>
    </w:p>
    <w:p>
      <w:r>
        <w:t>Reason: Eight nonordinary cases and their failures have been omitted.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est profile"/>
            <wp:cNvGraphicFramePr>
              <a:graphicFrameLocks noChangeAspect="1"/>
            </wp:cNvGraphicFramePr>
            <a:graphic>
              <a:graphicData uri="http://schemas.openxmlformats.org/drawingml/2006/picture">
                <pic:pic>
                  <pic:nvPicPr>
                    <pic:cNvPr id="0" name="c36c10cb01deb637dae577ea45cccc37a228e9f0bb9fd009ae341d8a04d0ac34.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edge case"/>
            <wp:cNvGraphicFramePr>
              <a:graphicFrameLocks noChangeAspect="1"/>
            </wp:cNvGraphicFramePr>
            <a:graphic>
              <a:graphicData uri="http://schemas.openxmlformats.org/drawingml/2006/picture">
                <pic:pic>
                  <pic:nvPicPr>
                    <pic:cNvPr id="0" name="702c0acedc843d535b94f8f614bf15799729688ceda2bc2aff05c5634d616ba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underserved"/>
            <wp:cNvGraphicFramePr>
              <a:graphicFrameLocks noChangeAspect="1"/>
            </wp:cNvGraphicFramePr>
            <a:graphic>
              <a:graphicData uri="http://schemas.openxmlformats.org/drawingml/2006/picture">
                <pic:pic>
                  <pic:nvPicPr>
                    <pic:cNvPr id="0" name="7dbeced101c084703ea95437d730177864e64efba743c451055425c8c41e57c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fairness concern"/>
            <wp:cNvGraphicFramePr>
              <a:graphicFrameLocks noChangeAspect="1"/>
            </wp:cNvGraphicFramePr>
            <a:graphic>
              <a:graphicData uri="http://schemas.openxmlformats.org/drawingml/2006/picture">
                <pic:pic>
                  <pic:nvPicPr>
                    <pic:cNvPr id="0" name="b8345fdd98f8faaf858b6689014abba9f1b92bbfbc5cad58181e323432ae15e1.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test profile</w:t>
            </w:r>
          </w:p>
        </w:tc>
        <w:tc>
          <w:tcPr>
            <w:tcW w:type="dxa" w:w="3408"/>
          </w:tcPr>
          <w:p>
            <w:r>
              <w:t>A description of the kinds of cases and conditions included in an evaluation.</w:t>
            </w:r>
          </w:p>
        </w:tc>
        <w:tc>
          <w:tcPr>
            <w:tcW w:type="dxa" w:w="3408"/>
          </w:tcPr>
          <w:p>
            <w:r/>
          </w:p>
        </w:tc>
      </w:tr>
      <w:tr>
        <w:tc>
          <w:tcPr>
            <w:tcW w:type="dxa" w:w="3408"/>
          </w:tcPr>
          <w:p>
            <w:r>
              <w:t>edge case</w:t>
            </w:r>
          </w:p>
        </w:tc>
        <w:tc>
          <w:tcPr>
            <w:tcW w:type="dxa" w:w="3408"/>
          </w:tcPr>
          <w:p>
            <w:r>
              <w:t>An unusual, boundary or difficult input that can reveal a failure hidden by routine examples.</w:t>
            </w:r>
          </w:p>
        </w:tc>
        <w:tc>
          <w:tcPr>
            <w:tcW w:type="dxa" w:w="3408"/>
          </w:tcPr>
          <w:p>
            <w:r/>
          </w:p>
        </w:tc>
      </w:tr>
      <w:tr>
        <w:tc>
          <w:tcPr>
            <w:tcW w:type="dxa" w:w="3408"/>
          </w:tcPr>
          <w:p>
            <w:r>
              <w:t>underserved</w:t>
            </w:r>
          </w:p>
        </w:tc>
        <w:tc>
          <w:tcPr>
            <w:tcW w:type="dxa" w:w="3408"/>
          </w:tcPr>
          <w:p>
            <w:r>
              <w:t>Receiving less adequate support or performance than the intended service requires.</w:t>
            </w:r>
          </w:p>
        </w:tc>
        <w:tc>
          <w:tcPr>
            <w:tcW w:type="dxa" w:w="3408"/>
          </w:tcPr>
          <w:p>
            <w:r/>
          </w:p>
        </w:tc>
      </w:tr>
      <w:tr>
        <w:tc>
          <w:tcPr>
            <w:tcW w:type="dxa" w:w="3408"/>
          </w:tcPr>
          <w:p>
            <w:r>
              <w:t>fairness concern</w:t>
            </w:r>
          </w:p>
        </w:tc>
        <w:tc>
          <w:tcPr>
            <w:tcW w:type="dxa" w:w="3408"/>
          </w:tcPr>
          <w:p>
            <w:r>
              <w:t>A reason to examine whether a system creates unjustified differences in treatment or outcomes.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Evaluation set</w:t>
            </w:r>
          </w:p>
        </w:tc>
        <w:tc>
          <w:tcPr>
            <w:tcW w:type="dxa" w:w="5112"/>
          </w:tcPr>
          <w:p>
            <w:r>
              <w:t>Cases used to assess a specified version</w:t>
            </w:r>
          </w:p>
        </w:tc>
      </w:tr>
      <w:tr>
        <w:tc>
          <w:tcPr>
            <w:tcW w:type="dxa" w:w="5112"/>
          </w:tcPr>
          <w:p>
            <w:r>
              <w:t>Failure category</w:t>
            </w:r>
          </w:p>
        </w:tc>
        <w:tc>
          <w:tcPr>
            <w:tcW w:type="dxa" w:w="5112"/>
          </w:tcPr>
          <w:p>
            <w:r>
              <w:t>A type of scenario where an expected result is missed</w:t>
            </w:r>
          </w:p>
        </w:tc>
      </w:tr>
      <w:tr>
        <w:tc>
          <w:tcPr>
            <w:tcW w:type="dxa" w:w="5112"/>
          </w:tcPr>
          <w:p>
            <w:r>
              <w:t>Pass rate</w:t>
            </w:r>
          </w:p>
        </w:tc>
        <w:tc>
          <w:tcPr>
            <w:tcW w:type="dxa" w:w="5112"/>
          </w:tcPr>
          <w:p>
            <w:r>
              <w:t>Passing cases divided by executed cases</w:t>
            </w:r>
          </w:p>
        </w:tc>
      </w:tr>
      <w:tr>
        <w:tc>
          <w:tcPr>
            <w:tcW w:type="dxa" w:w="5112"/>
          </w:tcPr>
          <w:p>
            <w:r>
              <w:t>Coverage</w:t>
            </w:r>
          </w:p>
        </w:tc>
        <w:tc>
          <w:tcPr>
            <w:tcW w:type="dxa" w:w="5112"/>
          </w:tcPr>
          <w:p>
            <w:r>
              <w:t>The variety of requirements and conditions tested</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est Diverse Users"/>
            <wp:cNvGraphicFramePr>
              <a:graphicFrameLocks noChangeAspect="1"/>
            </wp:cNvGraphicFramePr>
            <a:graphic>
              <a:graphicData uri="http://schemas.openxmlformats.org/drawingml/2006/picture">
                <pic:pic>
                  <pic:nvPicPr>
                    <pic:cNvPr id="0" name="6a42328b8698ec26c7f46f53d8e1ffc41cbee27cd6685f3ced63f19cebd59439.png"/>
                    <pic:cNvPicPr/>
                  </pic:nvPicPr>
                  <pic:blipFill>
                    <a:blip r:embed="rId21"/>
                    <a:stretch>
                      <a:fillRect/>
                    </a:stretch>
                  </pic:blipFill>
                  <pic:spPr>
                    <a:xfrm>
                      <a:off x="0" y="0"/>
                      <a:ext cx="5486400" cy="2377440"/>
                    </a:xfrm>
                    <a:prstGeom prst="rect"/>
                  </pic:spPr>
                </pic:pic>
              </a:graphicData>
            </a:graphic>
          </wp:inline>
        </w:drawing>
      </w:r>
    </w:p>
    <w:p>
      <w:r>
        <w:t>1. Profiles: typical reader; very short-book need; bilingual preference; screen-reader format need.</w:t>
      </w:r>
    </w:p>
    <w:p>
      <w:r>
        <w:t>2. Run the same frozen recommender for all four.</w:t>
      </w:r>
    </w:p>
    <w:p>
      <w:r>
        <w:t>3. Record expected, actual, score evidence, and issue type.</w:t>
      </w:r>
    </w:p>
    <w:p>
      <w:r>
        <w:t>4. Do not average away one group’s repeated failure.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If ten copies of one passing ordinary case are added, what becomes the pass fraction? Does coverage improve?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 Diverse Users</w:t>
      </w:r>
    </w:p>
    <w:p>
      <w:r>
        <w:t>A fictional recommender is tested on distinct ordinary, equality, invalid-input and tie cases.</w:t>
      </w:r>
    </w:p>
    <w:p>
      <w:pPr>
        <w:pStyle w:val="Heading3"/>
      </w:pPr>
      <w:r>
        <w:t>The facts we will use</w:t>
      </w:r>
    </w:p>
    <w:p>
      <w:r>
        <w:t>Recorded full passes: ordinary 4/4; equality 1/3; invalid 2/3; ties 1/2.</w:t>
      </w:r>
    </w:p>
    <w:p>
      <w:r>
        <w:t>Categories are disjoint and every case was run on the same frozen version with the same contract.</w:t>
      </w:r>
    </w:p>
    <w:p>
      <w:r>
        <w:drawing>
          <wp:inline xmlns:a="http://schemas.openxmlformats.org/drawingml/2006/main" xmlns:pic="http://schemas.openxmlformats.org/drawingml/2006/picture">
            <wp:extent cx="5486400" cy="4234543"/>
            <wp:docPr id="15" name="Picture 15" descr="Disjoint evaluation categories"/>
            <wp:cNvGraphicFramePr>
              <a:graphicFrameLocks noChangeAspect="1"/>
            </wp:cNvGraphicFramePr>
            <a:graphic>
              <a:graphicData uri="http://schemas.openxmlformats.org/drawingml/2006/picture">
                <pic:pic>
                  <pic:nvPicPr>
                    <pic:cNvPr id="0" name="academy-detail-ai-2-34.png"/>
                    <pic:cNvPicPr/>
                  </pic:nvPicPr>
                  <pic:blipFill>
                    <a:blip r:embed="rId22"/>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Test Diverse Users. Total count: Passes 4+1+2+1=8; cases 4+3+3+2=12.. Overall rate: 8/12≈66.7% full passes.. Find weak slices: Equality 1/3; invalid 2/3; ties 1/2; ordinary 4/4.. Prioritise repair: Inspect failed equality traces and any invalid-input safety consequence, not only the total."/>
            <wp:cNvGraphicFramePr>
              <a:graphicFrameLocks noChangeAspect="1"/>
            </wp:cNvGraphicFramePr>
            <a:graphic>
              <a:graphicData uri="http://schemas.openxmlformats.org/drawingml/2006/picture">
                <pic:pic>
                  <pic:nvPicPr>
                    <pic:cNvPr id="0" name="academy-visual-ai-2-34.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Total count</w:t>
            </w:r>
          </w:p>
        </w:tc>
        <w:tc>
          <w:tcPr>
            <w:tcW w:type="dxa" w:w="5112"/>
          </w:tcPr>
          <w:p>
            <w:r>
              <w:t>Passes 4+1+2+1=8; cases 4+3+3+2=12.</w:t>
            </w:r>
          </w:p>
        </w:tc>
      </w:tr>
      <w:tr>
        <w:tc>
          <w:tcPr>
            <w:tcW w:type="dxa" w:w="5112"/>
          </w:tcPr>
          <w:p>
            <w:r>
              <w:t>2. Overall rate</w:t>
            </w:r>
          </w:p>
        </w:tc>
        <w:tc>
          <w:tcPr>
            <w:tcW w:type="dxa" w:w="5112"/>
          </w:tcPr>
          <w:p>
            <w:r>
              <w:t>8/12≈66.7% full passes.</w:t>
            </w:r>
          </w:p>
        </w:tc>
      </w:tr>
      <w:tr>
        <w:tc>
          <w:tcPr>
            <w:tcW w:type="dxa" w:w="5112"/>
          </w:tcPr>
          <w:p>
            <w:r>
              <w:t>3. Find weak slices</w:t>
            </w:r>
          </w:p>
        </w:tc>
        <w:tc>
          <w:tcPr>
            <w:tcW w:type="dxa" w:w="5112"/>
          </w:tcPr>
          <w:p>
            <w:r>
              <w:t>Equality 1/3; invalid 2/3; ties 1/2; ordinary 4/4.</w:t>
            </w:r>
          </w:p>
        </w:tc>
      </w:tr>
      <w:tr>
        <w:tc>
          <w:tcPr>
            <w:tcW w:type="dxa" w:w="5112"/>
          </w:tcPr>
          <w:p>
            <w:r>
              <w:t>4. Prioritise repair</w:t>
            </w:r>
          </w:p>
        </w:tc>
        <w:tc>
          <w:tcPr>
            <w:tcW w:type="dxa" w:w="5112"/>
          </w:tcPr>
          <w:p>
            <w:r>
              <w:t>Inspect failed equality traces and any invalid-input safety consequence, not only the total.</w:t>
            </w:r>
          </w:p>
        </w:tc>
      </w:tr>
    </w:tbl>
    <w:p>
      <w:r>
        <w:t>Match each pictured step to the supplied facts. This is a worked teaching case, not an independent assessment.</w:t>
      </w:r>
    </w:p>
    <w:p>
      <w:pPr>
        <w:pStyle w:val="Heading3"/>
      </w:pPr>
      <w:r>
        <w:t>Why this result follows</w:t>
      </w:r>
    </w:p>
    <w:p>
      <w:r>
        <w:t>Varied tests expose behavior an ordinary demonstration misses. The overall result combines disjoint cases once each; overlapping labels would require unique-case accounting. Prioritisation also depends on consequences: a malformed input that triggers an unauthorised action can be more serious than a harmless tie-order failure. Retain each failed case and its expected output.</w:t>
      </w:r>
    </w:p>
    <w:p>
      <w:pPr>
        <w:pStyle w:val="Heading3"/>
      </w:pPr>
      <w:r>
        <w:t>What this example does not establish</w:t>
      </w:r>
    </w:p>
    <w:p>
      <w:r>
        <w:t>Twelve designed cases describe this test suite, not an unbiased estimate of future usage accuracy.</w:t>
      </w:r>
    </w:p>
    <w:p>
      <w:r>
        <w:t>Read the labelled picture: Can these records establish performance for different user groups?</w:t>
      </w:r>
    </w:p>
    <w:p>
      <w:r>
        <w:t>Change one thing: Someone reports only the ordinary slice.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Test Diverse Users"/>
            <wp:cNvGraphicFramePr>
              <a:graphicFrameLocks noChangeAspect="1"/>
            </wp:cNvGraphicFramePr>
            <a:graphic>
              <a:graphicData uri="http://schemas.openxmlformats.org/drawingml/2006/picture">
                <pic:pic>
                  <pic:nvPicPr>
                    <pic:cNvPr id="0" name="097db6c1c539716a6860eeb83c8567a2ddaacdadc2baf9cb3326fd91e4aa6089.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a rule-based chooser, evaluate conformance to its policy separately from whether users find suggestions useful. Neither a pass fraction nor an invented satisfaction score proves educational benefit.</w:t>
      </w:r>
    </w:p>
    <w:p>
      <w:pPr>
        <w:pStyle w:val="Heading3"/>
      </w:pPr>
      <w:r>
        <w:t>You fix the tie bug using the final tie case. What should the next evaluation report say?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Test Diverse User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Hiding the tie failure in an average conceals an unmet requirement. Preserve the failed input, expected result, actual result and version. If you repair using it, classify it as development/regression evidence and reserve new final cases.</w:t>
      </w:r>
    </w:p>
    <w:p>
      <w:pPr>
        <w:pStyle w:val="Heading3"/>
      </w:pPr>
      <w:r>
        <w:t>Practise with less help: Plan coverage</w:t>
      </w:r>
    </w:p>
    <w:p>
      <w:r>
        <w:t>Use workbook W2 for the connected example “Evaluating varied cases”.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Evaluating varied cases.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these records establish performance for different user groups?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Test Diverse Users"/>
            <wp:cNvGraphicFramePr>
              <a:graphicFrameLocks noChangeAspect="1"/>
            </wp:cNvGraphicFramePr>
            <a:graphic>
              <a:graphicData uri="http://schemas.openxmlformats.org/drawingml/2006/picture">
                <pic:pic>
                  <pic:nvPicPr>
                    <pic:cNvPr id="0" name="ffad4dd0f43b5769ba874af7a82d00bc37c0ffc2dedd5381bc7f892c2bfd80cf.png"/>
                    <pic:cNvPicPr/>
                  </pic:nvPicPr>
                  <pic:blipFill>
                    <a:blip r:embed="rId26"/>
                    <a:stretch>
                      <a:fillRect/>
                    </a:stretch>
                  </pic:blipFill>
                  <pic:spPr>
                    <a:xfrm>
                      <a:off x="0" y="0"/>
                      <a:ext cx="5486400" cy="1901952"/>
                    </a:xfrm>
                    <a:prstGeom prst="rect"/>
                  </pic:spPr>
                </pic:pic>
              </a:graphicData>
            </a:graphic>
          </wp:inline>
        </w:drawing>
      </w:r>
    </w:p>
    <w:p>
      <w:r>
        <w:t>Create four meaningfully different profiles, predict outcomes, run, classify failures, and compare results by profile rather than only overall.</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Test Diverse User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Test Diverse Users"/>
            <wp:cNvGraphicFramePr>
              <a:graphicFrameLocks noChangeAspect="1"/>
            </wp:cNvGraphicFramePr>
            <a:graphic>
              <a:graphicData uri="http://schemas.openxmlformats.org/drawingml/2006/picture">
                <pic:pic>
                  <pic:nvPicPr>
                    <pic:cNvPr id="0" name="42710cc352be0706f1fa63464cb468b68b2e841ae0bc0860d197c2a9fbd8d6fb.png"/>
                    <pic:cNvPicPr/>
                  </pic:nvPicPr>
                  <pic:blipFill>
                    <a:blip r:embed="rId28"/>
                    <a:stretch>
                      <a:fillRect/>
                    </a:stretch>
                  </pic:blipFill>
                  <pic:spPr>
                    <a:xfrm>
                      <a:off x="0" y="0"/>
                      <a:ext cx="5486400" cy="1901952"/>
                    </a:xfrm>
                    <a:prstGeom prst="rect"/>
                  </pic:spPr>
                </pic:pic>
              </a:graphicData>
            </a:graphic>
          </wp:inline>
        </w:drawing>
      </w:r>
    </w:p>
    <w:p>
      <w:r>
        <w:t>THIS WEEK’S CHECKPOINT  Use the same test record across ordinary, boundary, missing-data, and access-needs cases.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Build a recommender evaluation matrix with routine, boundary, missing, invalid and tie cases, then add separately planned user-condition coverage.</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Test Diverse Users"/>
            <wp:cNvGraphicFramePr>
              <a:graphicFrameLocks noChangeAspect="1"/>
            </wp:cNvGraphicFramePr>
            <a:graphic>
              <a:graphicData uri="http://schemas.openxmlformats.org/drawingml/2006/picture">
                <pic:pic>
                  <pic:nvPicPr>
                    <pic:cNvPr id="0" name="5765434457d394b33172403ceb7b610d380472094ef886776613432d2d32e8b0.png"/>
                    <pic:cNvPicPr/>
                  </pic:nvPicPr>
                  <pic:blipFill>
                    <a:blip r:embed="rId29"/>
                    <a:stretch>
                      <a:fillRect/>
                    </a:stretch>
                  </pic:blipFill>
                  <pic:spPr>
                    <a:xfrm>
                      <a:off x="0" y="0"/>
                      <a:ext cx="5486400" cy="1901952"/>
                    </a:xfrm>
                    <a:prstGeom prst="rect"/>
                  </pic:spPr>
                </pic:pic>
              </a:graphicData>
            </a:graphic>
          </wp:inline>
        </w:drawing>
      </w:r>
    </w:p>
    <w:p>
      <w:r>
        <w:t>CHALLENGE  Run four user profiles; log errors and fairness concerns.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34 Worked case</w:t>
      </w:r>
    </w:p>
    <w:p>
      <w:r>
        <w:t>Use the supplied details to practise the weekly concept before attempting the independent question. This case extends the illustrated lesson.</w:t>
      </w:r>
    </w:p>
    <w:p>
      <w:pPr>
        <w:pStyle w:val="Heading3"/>
      </w:pPr>
      <w:r>
        <w:t>The situation</w:t>
      </w:r>
    </w:p>
    <w:p>
      <w:r>
        <w:t>A recommender satisfies 5/6 adventure requests and 3/6 poetry requests.</w:t>
      </w:r>
    </w:p>
    <w:p>
      <w:pPr>
        <w:pStyle w:val="Heading3"/>
      </w:pPr>
      <w:r>
        <w:t>The question</w:t>
      </w:r>
    </w:p>
    <w:p>
      <w:r>
        <w:t>Compare and investigate.</w:t>
      </w:r>
    </w:p>
    <w:p>
      <w:pPr>
        <w:pStyle w:val="Heading3"/>
      </w:pPr>
      <w:r>
        <w:t>Worked explanation</w:t>
      </w:r>
    </w:p>
    <w:p>
      <w:r>
        <w:t>Rates are 5/6 and 3/6. Inspect catalogue coverage, labels and scoring; twelve tests do not establish cause.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success for different interests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Adventure requests</w:t>
            </w:r>
          </w:p>
        </w:tc>
        <w:tc>
          <w:tcPr>
            <w:tcW w:type="dxa" w:w="5112"/>
          </w:tcPr>
          <w:p>
            <w:r>
              <w:t>5/6</w:t>
            </w:r>
          </w:p>
        </w:tc>
      </w:tr>
      <w:tr>
        <w:tc>
          <w:tcPr>
            <w:tcW w:type="dxa" w:w="5112"/>
          </w:tcPr>
          <w:p>
            <w:r>
              <w:t>Poetry requests</w:t>
            </w:r>
          </w:p>
        </w:tc>
        <w:tc>
          <w:tcPr>
            <w:tcW w:type="dxa" w:w="5112"/>
          </w:tcPr>
          <w:p>
            <w:r>
              <w:t>3/6</w:t>
            </w:r>
          </w:p>
        </w:tc>
      </w:tr>
    </w:tbl>
    <w:p>
      <w:r>
        <w:t>A recommender satisfies 5/6 adventure requests and 3/6 poetry requests.</w:t>
      </w:r>
    </w:p>
    <w:p>
      <w:r>
        <w:t>Compare and investigate.</w:t>
      </w:r>
    </w:p>
    <w:p>
      <w:r>
        <w:t>Rates are 5/6 and 3/6. Inspect catalogue coverage, labels and scoring; twelve tests do not establish cause.</w:t>
      </w:r>
    </w:p>
    <w:p>
      <w:pPr>
        <w:pStyle w:val="Heading1"/>
      </w:pPr>
      <w:r>
        <w:t>14. Try a new case independently</w:t>
      </w:r>
    </w:p>
    <w:p>
      <w:pPr>
        <w:pStyle w:val="Heading3"/>
      </w:pPr>
      <w:r>
        <w:t>Independent case: Evaluate independently</w:t>
      </w:r>
    </w:p>
    <w:p>
      <w:r>
        <w:t>Given ordinary 3/3, boundary 1/2, invalid 2/2 and tie 0/1, compute overall results and prioritize issues.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34 Independent application</w:t>
      </w:r>
    </w:p>
    <w:p>
      <w:r>
        <w:t>Close the worked explanation. Apply the idea to this different question without copying.</w:t>
      </w:r>
    </w:p>
    <w:p>
      <w:r>
        <w:t>A recommender serves 6 of 6 easy-book requests but 1 of 4 advanced-book requests. Report both results and identify the next test priority.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the same test record across ordinary, boundary, missing-data, and access-needs cases.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The recommender succeeds on 9/10 mystery requests and 2/5 poetry requests. Compute total and separate rates. A team reports only 11/15. Explain what that hides.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recommender is tested on distinct ordinary, equality, invalid-input and tie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Evaluate across varied cases</w:t>
            </w:r>
          </w:p>
        </w:tc>
        <w:tc>
          <w:tcPr>
            <w:tcW w:type="dxa" w:w="5112"/>
          </w:tcPr>
          <w:p>
            <w:r>
              <w:t>Explain the deciding step, show a trace or test, and state one limit.</w:t>
            </w:r>
          </w:p>
        </w:tc>
      </w:tr>
      <w:tr>
        <w:tc>
          <w:tcPr>
            <w:tcW w:type="dxa" w:w="5112"/>
          </w:tcPr>
          <w:p>
            <w:r>
              <w:t>Report failures with their denominators</w:t>
            </w:r>
          </w:p>
        </w:tc>
        <w:tc>
          <w:tcPr>
            <w:tcW w:type="dxa" w:w="5112"/>
          </w:tcPr>
          <w:p>
            <w:r>
              <w:t>Explain the deciding step, show a trace or test, and state one limit.</w:t>
            </w:r>
          </w:p>
        </w:tc>
      </w:tr>
      <w:tr>
        <w:tc>
          <w:tcPr>
            <w:tcW w:type="dxa" w:w="5112"/>
          </w:tcPr>
          <w:p>
            <w:r>
              <w:t>Separate development evidence from final checks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Evaluate across varied cases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