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ai-3/16</w:t>
      </w:r>
    </w:p>
    <w:p>
      <w:pPr>
        <w:pStyle w:val="Title"/>
      </w:pPr>
      <w:r>
        <w:t>Verify Numbers and Dates</w:t>
      </w:r>
    </w:p>
    <w:p>
      <w:r>
        <w:t>Project: Verified Study Buddy</w:t>
      </w:r>
    </w:p>
    <w:p>
      <w:pPr>
        <w:pStyle w:val="Heading1"/>
      </w:pPr>
      <w:r>
        <w:t>Before you start</w:t>
      </w:r>
    </w:p>
    <w:p>
      <w:r>
        <w:t>AI-2 Week 12: convert a ratio using its actual denominator.</w:t>
      </w:r>
    </w:p>
    <w:p>
      <w:pPr>
        <w:pStyle w:val="Heading1"/>
      </w:pPr>
      <w:r>
        <w:t>01. Your mission</w:t>
      </w:r>
    </w:p>
    <w:p>
      <w:pPr>
        <w:pStyle w:val="Heading3"/>
      </w:pPr>
      <w:r>
        <w:t>Your learning target</w:t>
      </w:r>
    </w:p>
    <w:p>
      <w:r>
        <w:t>I can explain the mechanism and terminology of claim support and citation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Source Quality. Give an example and a mistake that the idea helps you avoid.</w:t>
      </w:r>
    </w:p>
    <w:p>
      <w:r>
        <w:t>Without opening the old lesson, explain one key idea from Multimodal Evidence. Give an example and a mistake that the idea helps you avoid.</w:t>
      </w:r>
    </w:p>
    <w:p>
      <w:r>
        <w:t>Without opening the old lesson, explain one key idea from Image Generation Models. Give an example and a mistake that the idea helps you avoid.</w:t>
      </w:r>
    </w:p>
    <w:p>
      <w:r>
        <w:t>After trying, check the relevant lesson or ask your teacher. Change the part of your explanation that the evidence shows was wrong.</w:t>
      </w:r>
    </w:p>
    <w:p>
      <w:r>
        <w:t>Week 16: Verify Numbers and Dates</w:t>
      </w:r>
    </w:p>
    <w:p>
      <w:r>
        <w:t>Precise values require direct evidence and recalculation.</w:t>
      </w:r>
    </w:p>
    <w:p>
      <w:r>
        <w:drawing>
          <wp:inline xmlns:a="http://schemas.openxmlformats.org/drawingml/2006/main" xmlns:pic="http://schemas.openxmlformats.org/drawingml/2006/picture">
            <wp:extent cx="2942705" cy="2942705"/>
            <wp:docPr id="1" name="Picture 1" descr="Week 16 illustration: Verify Numbers and Dates"/>
            <wp:cNvGraphicFramePr>
              <a:graphicFrameLocks noChangeAspect="1"/>
            </wp:cNvGraphicFramePr>
            <a:graphic>
              <a:graphicData uri="http://schemas.openxmlformats.org/drawingml/2006/picture">
                <pic:pic>
                  <pic:nvPicPr>
                    <pic:cNvPr id="0" name="0f81f3f1b9de402962a4e163ee2b1337610d91335cd30b911c79aad903e9ba88.png"/>
                    <pic:cNvPicPr/>
                  </pic:nvPicPr>
                  <pic:blipFill>
                    <a:blip r:embed="rId9"/>
                    <a:stretch>
                      <a:fillRect/>
                    </a:stretch>
                  </pic:blipFill>
                  <pic:spPr>
                    <a:xfrm>
                      <a:off x="0" y="0"/>
                      <a:ext cx="2942705" cy="2942705"/>
                    </a:xfrm>
                    <a:prstGeom prst="rect"/>
                  </pic:spPr>
                </pic:pic>
              </a:graphicData>
            </a:graphic>
          </wp:inline>
        </w:drawing>
      </w:r>
    </w:p>
    <w:p>
      <w:r>
        <w:t>CREATOR MISSION</w:t>
      </w:r>
    </w:p>
    <w:p>
      <w:r>
        <w:t>Cross-check dates and recompute a percentage claim.</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Building a grounded answer. Explain why a recorded result needs its input conditions and evidence source before it can support a claim.</w:t>
      </w:r>
    </w:p>
    <w:p>
      <w:pPr>
        <w:pStyle w:val="Heading3"/>
      </w:pPr>
      <w:r>
        <w:t>This week’s end goal</w:t>
      </w:r>
    </w:p>
    <w:p>
      <w:r>
        <w:t>By the end, I can verify numbers and dates without inventing the intended correction.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erify Numbers and Dates"/>
            <wp:cNvGraphicFramePr>
              <a:graphicFrameLocks noChangeAspect="1"/>
            </wp:cNvGraphicFramePr>
            <a:graphic>
              <a:graphicData uri="http://schemas.openxmlformats.org/drawingml/2006/picture">
                <pic:pic>
                  <pic:nvPicPr>
                    <pic:cNvPr id="0" name="0f81f3f1b9de402962a4e163ee2b1337610d91335cd30b911c79aad903e9ba88.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verify numbers and dates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erify Numbers and Dates"/>
            <wp:cNvGraphicFramePr>
              <a:graphicFrameLocks noChangeAspect="1"/>
            </wp:cNvGraphicFramePr>
            <a:graphic>
              <a:graphicData uri="http://schemas.openxmlformats.org/drawingml/2006/picture">
                <pic:pic>
                  <pic:nvPicPr>
                    <pic:cNvPr id="0" name="ab9fb9a1039b6fbd6d38e78bb049fb65ed0782568c984a3ab737362d95f8f80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Verify Numbers and Dates"/>
            <wp:cNvGraphicFramePr>
              <a:graphicFrameLocks noChangeAspect="1"/>
            </wp:cNvGraphicFramePr>
            <a:graphic>
              <a:graphicData uri="http://schemas.openxmlformats.org/drawingml/2006/picture">
                <pic:pic>
                  <pic:nvPicPr>
                    <pic:cNvPr id="0" name="c17bca50607e3a18aca55ba3d5469a174203141539b3c22c04ee04b9126c80b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Verify Numbers and Dates"/>
            <wp:cNvGraphicFramePr>
              <a:graphicFrameLocks noChangeAspect="1"/>
            </wp:cNvGraphicFramePr>
            <a:graphic>
              <a:graphicData uri="http://schemas.openxmlformats.org/drawingml/2006/picture">
                <pic:pic>
                  <pic:nvPicPr>
                    <pic:cNvPr id="0" name="8ecd2fec5087c0a0acb20c0b08b29198e0d89bf1abdfbdadef7039732fd6390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classroom rubric count a claim as supported only when its cited passage entails it. Separately count correct citation links. Use the number of factual claims as the support denominator.</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count is revised to 14 passes out of 20, but no date record is added.</w:t>
      </w:r>
    </w:p>
    <w:p>
      <w:r>
        <w:t>Prediction: 70% now matches the count; June 31 remains invalid and unresolved.</w:t>
      </w:r>
    </w:p>
    <w:p>
      <w:r>
        <w:t>Reason: 14÷20×100=70%; changing a count provides no new calendar evidence.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imary record"/>
            <wp:cNvGraphicFramePr>
              <a:graphicFrameLocks noChangeAspect="1"/>
            </wp:cNvGraphicFramePr>
            <a:graphic>
              <a:graphicData uri="http://schemas.openxmlformats.org/drawingml/2006/picture">
                <pic:pic>
                  <pic:nvPicPr>
                    <pic:cNvPr id="0" name="6daf4d6a051ac4454e43df92a0b0d5aa600e84ad995002d4aaf7c5da72ff22e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calculate"/>
            <wp:cNvGraphicFramePr>
              <a:graphicFrameLocks noChangeAspect="1"/>
            </wp:cNvGraphicFramePr>
            <a:graphic>
              <a:graphicData uri="http://schemas.openxmlformats.org/drawingml/2006/picture">
                <pic:pic>
                  <pic:nvPicPr>
                    <pic:cNvPr id="0" name="fd58cc66f0396432f0a6c68d6c869fff95db5cae0982a539202047057a3e5a2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it"/>
            <wp:cNvGraphicFramePr>
              <a:graphicFrameLocks noChangeAspect="1"/>
            </wp:cNvGraphicFramePr>
            <a:graphic>
              <a:graphicData uri="http://schemas.openxmlformats.org/drawingml/2006/picture">
                <pic:pic>
                  <pic:nvPicPr>
                    <pic:cNvPr id="0" name="f1a9583ba052752fa47a692b988aa8b79d8d18adfb04ed323fd0a1b0ee837d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s-of date"/>
            <wp:cNvGraphicFramePr>
              <a:graphicFrameLocks noChangeAspect="1"/>
            </wp:cNvGraphicFramePr>
            <a:graphic>
              <a:graphicData uri="http://schemas.openxmlformats.org/drawingml/2006/picture">
                <pic:pic>
                  <pic:nvPicPr>
                    <pic:cNvPr id="0" name="1d233d86b44243c6fbe6c7c6578b15e158c39e26700ae26bed4359f0458b76b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primary record</w:t>
            </w:r>
          </w:p>
        </w:tc>
        <w:tc>
          <w:tcPr>
            <w:tcW w:type="dxa" w:w="3408"/>
          </w:tcPr>
          <w:p>
            <w:r>
              <w:t>An original record directly relevant to a claim, rather than a later summary of it.</w:t>
            </w:r>
          </w:p>
        </w:tc>
        <w:tc>
          <w:tcPr>
            <w:tcW w:type="dxa" w:w="3408"/>
          </w:tcPr>
          <w:p>
            <w:r/>
          </w:p>
        </w:tc>
      </w:tr>
      <w:tr>
        <w:tc>
          <w:tcPr>
            <w:tcW w:type="dxa" w:w="3408"/>
          </w:tcPr>
          <w:p>
            <w:r>
              <w:t>recalculate</w:t>
            </w:r>
          </w:p>
        </w:tc>
        <w:tc>
          <w:tcPr>
            <w:tcW w:type="dxa" w:w="3408"/>
          </w:tcPr>
          <w:p>
            <w:r>
              <w:t>Compute a quantity again from the original values or corrected inputs.</w:t>
            </w:r>
          </w:p>
        </w:tc>
        <w:tc>
          <w:tcPr>
            <w:tcW w:type="dxa" w:w="3408"/>
          </w:tcPr>
          <w:p>
            <w:r/>
          </w:p>
        </w:tc>
      </w:tr>
      <w:tr>
        <w:tc>
          <w:tcPr>
            <w:tcW w:type="dxa" w:w="3408"/>
          </w:tcPr>
          <w:p>
            <w:r>
              <w:t>unit</w:t>
            </w:r>
          </w:p>
        </w:tc>
        <w:tc>
          <w:tcPr>
            <w:tcW w:type="dxa" w:w="3408"/>
          </w:tcPr>
          <w:p>
            <w:r>
              <w:t>An agreed amount used to express a measurement, such as centimetres or seconds.</w:t>
            </w:r>
          </w:p>
        </w:tc>
        <w:tc>
          <w:tcPr>
            <w:tcW w:type="dxa" w:w="3408"/>
          </w:tcPr>
          <w:p>
            <w:r/>
          </w:p>
        </w:tc>
      </w:tr>
      <w:tr>
        <w:tc>
          <w:tcPr>
            <w:tcW w:type="dxa" w:w="3408"/>
          </w:tcPr>
          <w:p>
            <w:r>
              <w:t>as-of date</w:t>
            </w:r>
          </w:p>
        </w:tc>
        <w:tc>
          <w:tcPr>
            <w:tcW w:type="dxa" w:w="3408"/>
          </w:tcPr>
          <w:p>
            <w:r>
              <w:t>The date up to which a claim or record is stated to be current.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Verify Numbers and Dates"/>
            <wp:cNvGraphicFramePr>
              <a:graphicFrameLocks noChangeAspect="1"/>
            </wp:cNvGraphicFramePr>
            <a:graphic>
              <a:graphicData uri="http://schemas.openxmlformats.org/drawingml/2006/picture">
                <pic:pic>
                  <pic:nvPicPr>
                    <pic:cNvPr id="0" name="42c6cd5d68ef2035ceaaa7a3f46fb3e3040882704d138d58cbbb598f6094f62a.png"/>
                    <pic:cNvPicPr/>
                  </pic:nvPicPr>
                  <pic:blipFill>
                    <a:blip r:embed="rId21"/>
                    <a:stretch>
                      <a:fillRect/>
                    </a:stretch>
                  </pic:blipFill>
                  <pic:spPr>
                    <a:xfrm>
                      <a:off x="0" y="0"/>
                      <a:ext cx="5486400" cy="2377440"/>
                    </a:xfrm>
                    <a:prstGeom prst="rect"/>
                  </pic:spPr>
                </pic:pic>
              </a:graphicData>
            </a:graphic>
          </wp:inline>
        </w:drawing>
      </w:r>
    </w:p>
    <w:p>
      <w:r>
        <w:t>1. Claim: 18 of 24 tests passed, reported as 80%.</w:t>
      </w:r>
    </w:p>
    <w:p>
      <w:r>
        <w:t>2. Recalculate: 18 ÷ 24 = 0.75 = 75%.</w:t>
      </w:r>
    </w:p>
    <w:p>
      <w:r>
        <w:t>3. Check denominator, unit, rounding, and source date.</w:t>
      </w:r>
    </w:p>
    <w:p>
      <w:r>
        <w:t>4. Correct the claim and preserve the calculation trail.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Verify Numbers and Dates</w:t>
      </w:r>
    </w:p>
    <w:p>
      <w:r>
        <w:t>A fictional Study Buddy checks a science-club summary against supplied counts and calendar facts.</w:t>
      </w:r>
    </w:p>
    <w:p>
      <w:pPr>
        <w:pStyle w:val="Heading3"/>
      </w:pPr>
      <w:r>
        <w:t>The facts we will use</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5" name="Picture 15"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r>
        <w:t>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What this example does not establish</w:t>
      </w:r>
    </w:p>
    <w:p>
      <w:r>
        <w:t>This check confirms internal arithmetic and date validity, not whether the fictional trial measurements themselves were reliable.</w:t>
      </w:r>
    </w:p>
    <w:p>
      <w:r>
        <w:t>Read the labelled picture: Which part can be corrected immediately from existing evidence, and which needs follow-up?</w:t>
      </w:r>
    </w:p>
    <w:p>
      <w:r>
        <w:t>Change one thing: The count is revised to 14 passes out of 20, but no date record is added.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Verify Numbers and Dates"/>
            <wp:cNvGraphicFramePr>
              <a:graphicFrameLocks noChangeAspect="1"/>
            </wp:cNvGraphicFramePr>
            <a:graphic>
              <a:graphicData uri="http://schemas.openxmlformats.org/drawingml/2006/picture">
                <pic:pic>
                  <pic:nvPicPr>
                    <pic:cNvPr id="0" name="c2507d0ae594b8e643430a7cd39dfdf8093d7379d098751c4b56c898b5ddbfd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Verify Numbers and Dat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counts do not establish truth beyond the supplied sources or the correctness of uncited claims.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“Claim support and citation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part can be corrected immediately from existing evidence, and which needs follow-up?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Verify Numbers and Dates"/>
            <wp:cNvGraphicFramePr>
              <a:graphicFrameLocks noChangeAspect="1"/>
            </wp:cNvGraphicFramePr>
            <a:graphic>
              <a:graphicData uri="http://schemas.openxmlformats.org/drawingml/2006/picture">
                <pic:pic>
                  <pic:nvPicPr>
                    <pic:cNvPr id="0" name="16cf61724f72ad53f873667abee5b4a5501a8cac86fcd72aa772abff7a8f05d7.png"/>
                    <pic:cNvPicPr/>
                  </pic:nvPicPr>
                  <pic:blipFill>
                    <a:blip r:embed="rId25"/>
                    <a:stretch>
                      <a:fillRect/>
                    </a:stretch>
                  </pic:blipFill>
                  <pic:spPr>
                    <a:xfrm>
                      <a:off x="0" y="0"/>
                      <a:ext cx="5486400" cy="1901952"/>
                    </a:xfrm>
                    <a:prstGeom prst="rect"/>
                  </pic:spPr>
                </pic:pic>
              </a:graphicData>
            </a:graphic>
          </wp:inline>
        </w:drawing>
      </w:r>
    </w:p>
    <w:p>
      <w:r>
        <w:t>Audit six claims for source, date, unit, denominator, and arithmetic; mark verified, corrected, or unresolved.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Verify Numbers and Dat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Verify Numbers and Dates"/>
            <wp:cNvGraphicFramePr>
              <a:graphicFrameLocks noChangeAspect="1"/>
            </wp:cNvGraphicFramePr>
            <a:graphic>
              <a:graphicData uri="http://schemas.openxmlformats.org/drawingml/2006/picture">
                <pic:pic>
                  <pic:nvPicPr>
                    <pic:cNvPr id="0" name="453d779d3b0beffa9bfd95594fa6f79646c662fff2f86b6fddf33602639c70ea.png"/>
                    <pic:cNvPicPr/>
                  </pic:nvPicPr>
                  <pic:blipFill>
                    <a:blip r:embed="rId27"/>
                    <a:stretch>
                      <a:fillRect/>
                    </a:stretch>
                  </pic:blipFill>
                  <pic:spPr>
                    <a:xfrm>
                      <a:off x="0" y="0"/>
                      <a:ext cx="5486400" cy="1901952"/>
                    </a:xfrm>
                    <a:prstGeom prst="rect"/>
                  </pic:spPr>
                </pic:pic>
              </a:graphicData>
            </a:graphic>
          </wp:inline>
        </w:drawing>
      </w:r>
    </w:p>
    <w:p>
      <w:r>
        <w:t>THIS WEEK’S CHECKPOINT  Route arithmetic to a calculator and dates to direct sources before presenting them.</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Make Study Buddy check quantities, units, dates and source support separately; record unresolved fields instead of guessing.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Verify Numbers and Dates"/>
            <wp:cNvGraphicFramePr>
              <a:graphicFrameLocks noChangeAspect="1"/>
            </wp:cNvGraphicFramePr>
            <a:graphic>
              <a:graphicData uri="http://schemas.openxmlformats.org/drawingml/2006/picture">
                <pic:pic>
                  <pic:nvPicPr>
                    <pic:cNvPr id="0" name="799d7b3392623c0268f15826642f7c539e14bc141d5e23f12a013cfa6fe7b0bf.png"/>
                    <pic:cNvPicPr/>
                  </pic:nvPicPr>
                  <pic:blipFill>
                    <a:blip r:embed="rId28"/>
                    <a:stretch>
                      <a:fillRect/>
                    </a:stretch>
                  </pic:blipFill>
                  <pic:spPr>
                    <a:xfrm>
                      <a:off x="0" y="0"/>
                      <a:ext cx="5486400" cy="1901952"/>
                    </a:xfrm>
                    <a:prstGeom prst="rect"/>
                  </pic:spPr>
                </pic:pic>
              </a:graphicData>
            </a:graphic>
          </wp:inline>
        </w:drawing>
      </w:r>
    </w:p>
    <w:p>
      <w:r>
        <w:t>CHALLENGE  Cross-check dates and recompute a percentage claim.</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An answer says 15/20=80% and sets a deadline of February 30.</w:t>
      </w:r>
    </w:p>
    <w:p>
      <w:pPr>
        <w:pStyle w:val="Heading3"/>
      </w:pPr>
      <w:r>
        <w:t>The question</w:t>
      </w:r>
    </w:p>
    <w:p>
      <w:r>
        <w:t>Verify both.</w:t>
      </w:r>
    </w:p>
    <w:p>
      <w:pPr>
        <w:pStyle w:val="Heading3"/>
      </w:pPr>
      <w:r>
        <w:t>Worked explanation</w:t>
      </w:r>
    </w:p>
    <w:p>
      <w:r>
        <w:t>15/20=75%. February 30 is invalid in the Gregorian calendar. Check the intended deadline from its authority rather than guessing.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Verify a percentage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portion</w:t>
            </w:r>
          </w:p>
        </w:tc>
        <w:tc>
          <w:tcPr>
            <w:tcW w:type="dxa" w:w="5112"/>
          </w:tcPr>
          <w:p>
            <w:r>
              <w:t>15/20</w:t>
            </w:r>
          </w:p>
        </w:tc>
      </w:tr>
      <w:tr>
        <w:tc>
          <w:tcPr>
            <w:tcW w:type="dxa" w:w="5112"/>
          </w:tcPr>
          <w:p>
            <w:r>
              <w:t>Remaining portion</w:t>
            </w:r>
          </w:p>
        </w:tc>
        <w:tc>
          <w:tcPr>
            <w:tcW w:type="dxa" w:w="5112"/>
          </w:tcPr>
          <w:p>
            <w:r>
              <w:t>5/20</w:t>
            </w:r>
          </w:p>
        </w:tc>
      </w:tr>
    </w:tbl>
    <w:p>
      <w:r>
        <w:t>An answer says 15/20=80% and sets a deadline of February 30.</w:t>
      </w:r>
    </w:p>
    <w:p>
      <w:r>
        <w:t>Verify both.</w:t>
      </w:r>
    </w:p>
    <w:p>
      <w:r>
        <w:t>15/20=75%. February 30 is invalid in the Gregorian calendar. Check the intended deadline from its authority rather than guessing.</w:t>
      </w:r>
    </w:p>
    <w:p>
      <w:pPr>
        <w:pStyle w:val="Heading1"/>
      </w:pPr>
      <w:r>
        <w:t>14. Try a new case independently</w:t>
      </w:r>
    </w:p>
    <w:p>
      <w:pPr>
        <w:pStyle w:val="Heading3"/>
      </w:pPr>
      <w:r>
        <w:t>Independent case: Changed independent case</w:t>
      </w:r>
    </w:p>
    <w:p>
      <w:r>
        <w:t>A draft claims18 of24 learners is60%,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report says 12 of 40 responses is 40%. Recalculate and state the correction with the denominator.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Route arithmetic to a calculator and dates to direct sources before presenting them.</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report says 21/28=70% and gives February 30 as the deadline. Correct what can be computed and identify what must be checked externally.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checks a science-club summary against supplied counts and calendar facts.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claim support and citation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claim support and citation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