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ai-3/21</w:t>
      </w:r>
    </w:p>
    <w:p>
      <w:pPr>
        <w:pStyle w:val="Title"/>
      </w:pPr>
      <w:r>
        <w:t>Tools and APIs</w:t>
      </w:r>
    </w:p>
    <w:p>
      <w:r>
        <w:t>Project: Verified Study Buddy</w:t>
      </w:r>
    </w:p>
    <w:p>
      <w:pPr>
        <w:pStyle w:val="Heading1"/>
      </w:pPr>
      <w:r>
        <w:t>Before you start</w:t>
      </w:r>
    </w:p>
    <w:p>
      <w:r>
        <w:t>AI-2 Week 30: tools have task-specific permissions.</w:t>
      </w:r>
    </w:p>
    <w:p>
      <w:pPr>
        <w:pStyle w:val="Heading1"/>
      </w:pPr>
      <w:r>
        <w:t>01. Your mission</w:t>
      </w:r>
    </w:p>
    <w:p>
      <w:pPr>
        <w:pStyle w:val="Heading3"/>
      </w:pPr>
      <w:r>
        <w:t>Your learning target</w:t>
      </w:r>
    </w:p>
    <w:p>
      <w:r>
        <w:t>I can explain the mechanism and terminology of tools and api contracts.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Conversation State and Memory. Give an example and a mistake that the idea helps you avoid.</w:t>
      </w:r>
    </w:p>
    <w:p>
      <w:r>
        <w:t>Without opening the old lesson, explain one key idea from Retrieval Augmented Generation. Give an example and a mistake that the idea helps you avoid.</w:t>
      </w:r>
    </w:p>
    <w:p>
      <w:r>
        <w:t>Without opening the old lesson, explain one key idea from Source Quality. Give an example and a mistake that the idea helps you avoid.</w:t>
      </w:r>
    </w:p>
    <w:p>
      <w:r>
        <w:t>After trying, check the relevant lesson or ask your teacher. Change the part of your explanation that the evidence shows was wrong.</w:t>
      </w:r>
    </w:p>
    <w:p>
      <w:r>
        <w:t>Week 21: Tools and APIs</w:t>
      </w:r>
    </w:p>
    <w:p>
      <w:r>
        <w:t>A tool call is a structured request to an external capability with returned data.</w:t>
      </w:r>
    </w:p>
    <w:p>
      <w:r>
        <w:drawing>
          <wp:inline xmlns:a="http://schemas.openxmlformats.org/drawingml/2006/main" xmlns:pic="http://schemas.openxmlformats.org/drawingml/2006/picture">
            <wp:extent cx="2942705" cy="2942705"/>
            <wp:docPr id="1" name="Picture 1" descr="Week 21 illustration: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CREATOR MISSION</w:t>
      </w:r>
    </w:p>
    <w:p>
      <w:r>
        <w:t>Match tool schemas to requests and handle one failure.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Prompt injection boundaries. Explain why a recorded result needs its input conditions and evidence source before it can support a claim.</w:t>
      </w:r>
    </w:p>
    <w:p>
      <w:pPr>
        <w:pStyle w:val="Heading3"/>
      </w:pPr>
      <w:r>
        <w:t>This week’s end goal</w:t>
      </w:r>
    </w:p>
    <w:p>
      <w:r>
        <w:t>By the end, I can explain tools and apis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tools and apis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ols and APIs"/>
            <wp:cNvGraphicFramePr>
              <a:graphicFrameLocks noChangeAspect="1"/>
            </wp:cNvGraphicFramePr>
            <a:graphic>
              <a:graphicData uri="http://schemas.openxmlformats.org/drawingml/2006/picture">
                <pic:pic>
                  <pic:nvPicPr>
                    <pic:cNvPr id="0" name="ca974db65f188bee867c3087f3711c9a7521edd0b5e549e6517e03116c62e873.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ols and APIs"/>
            <wp:cNvGraphicFramePr>
              <a:graphicFrameLocks noChangeAspect="1"/>
            </wp:cNvGraphicFramePr>
            <a:graphic>
              <a:graphicData uri="http://schemas.openxmlformats.org/drawingml/2006/picture">
                <pic:pic>
                  <pic:nvPicPr>
                    <pic:cNvPr id="0" name="e74f06d91714894090e6db8211d3e6351d97567ac50b45cf90d307afd66a27fc.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ols and APIs"/>
            <wp:cNvGraphicFramePr>
              <a:graphicFrameLocks noChangeAspect="1"/>
            </wp:cNvGraphicFramePr>
            <a:graphic>
              <a:graphicData uri="http://schemas.openxmlformats.org/drawingml/2006/picture">
                <pic:pic>
                  <pic:nvPicPr>
                    <pic:cNvPr id="0" name="3f2820b44a3fcaff82b0519e1ac9ea066a9ea4362db28d0f30106a3ea01576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lookup_room accept exactly room_id as a nonempty string; return found plus capacity or a not-found result. It is read-only. Reject unknown arguments and do not replace missing values with invented facts.</w:t>
      </w:r>
    </w:p>
    <w:p>
      <w:pPr>
        <w:pStyle w:val="Heading3"/>
      </w:pPr>
      <w:r>
        <w:t>Tools and API contracts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Proposed call lookup_room has room_id=B and extra argument book=true.</w:t>
            </w:r>
          </w:p>
        </w:tc>
        <w:tc>
          <w:tcPr>
            <w:tcW w:type="dxa" w:w="3408"/>
          </w:tcPr>
          <w:p>
            <w:r>
              <w:t>For lookup_room accept exactly room_id as a nonempty string; return found plus capacity or a not-found result. It is read-only. Reject unknown arguments and do not replace missing values with invented facts.</w:t>
            </w:r>
          </w:p>
        </w:tc>
        <w:tc>
          <w:tcPr>
            <w:tcW w:type="dxa" w:w="3408"/>
          </w:tcPr>
          <w:p>
            <w:r>
              <w:t>Reject the extra field under the closed input contract. The lookup tool provides no booking authority even if the requested room exists.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PI"/>
            <wp:cNvGraphicFramePr>
              <a:graphicFrameLocks noChangeAspect="1"/>
            </wp:cNvGraphicFramePr>
            <a:graphic>
              <a:graphicData uri="http://schemas.openxmlformats.org/drawingml/2006/picture">
                <pic:pic>
                  <pic:nvPicPr>
                    <pic:cNvPr id="0" name="6881d60a59f52f99c8887da616b07ec70d85437a3c1451ffc88bf1d6180cf3a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call"/>
            <wp:cNvGraphicFramePr>
              <a:graphicFrameLocks noChangeAspect="1"/>
            </wp:cNvGraphicFramePr>
            <a:graphic>
              <a:graphicData uri="http://schemas.openxmlformats.org/drawingml/2006/picture">
                <pic:pic>
                  <pic:nvPicPr>
                    <pic:cNvPr id="0" name="fe3d7278e87ca827ecca82e23476cfcaa9288bc0ec9dcfcfee3abb06a0bca75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rgument"/>
            <wp:cNvGraphicFramePr>
              <a:graphicFrameLocks noChangeAspect="1"/>
            </wp:cNvGraphicFramePr>
            <a:graphic>
              <a:graphicData uri="http://schemas.openxmlformats.org/drawingml/2006/picture">
                <pic:pic>
                  <pic:nvPicPr>
                    <pic:cNvPr id="0" name="7b745c32916d4b56655b4d7509e17fdfc4cb0153febe86dc230c5262661cea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rror response"/>
            <wp:cNvGraphicFramePr>
              <a:graphicFrameLocks noChangeAspect="1"/>
            </wp:cNvGraphicFramePr>
            <a:graphic>
              <a:graphicData uri="http://schemas.openxmlformats.org/drawingml/2006/picture">
                <pic:pic>
                  <pic:nvPicPr>
                    <pic:cNvPr id="0" name="3abb7c654b8ed46e276fa4df772a9baaba83fca918d3a28a3382fb3ed64d96c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API</w:t>
            </w:r>
          </w:p>
        </w:tc>
        <w:tc>
          <w:tcPr>
            <w:tcW w:type="dxa" w:w="3408"/>
          </w:tcPr>
          <w:p>
            <w:r>
              <w:t>An agreed interface through which software requests data or actions from another system.</w:t>
            </w:r>
          </w:p>
        </w:tc>
        <w:tc>
          <w:tcPr>
            <w:tcW w:type="dxa" w:w="3408"/>
          </w:tcPr>
          <w:p>
            <w:r/>
          </w:p>
        </w:tc>
      </w:tr>
      <w:tr>
        <w:tc>
          <w:tcPr>
            <w:tcW w:type="dxa" w:w="3408"/>
          </w:tcPr>
          <w:p>
            <w:r>
              <w:t>tool call</w:t>
            </w:r>
          </w:p>
        </w:tc>
        <w:tc>
          <w:tcPr>
            <w:tcW w:type="dxa" w:w="3408"/>
          </w:tcPr>
          <w:p>
            <w:r>
              <w:t>A structured request to a tool with specified arguments.</w:t>
            </w:r>
          </w:p>
        </w:tc>
        <w:tc>
          <w:tcPr>
            <w:tcW w:type="dxa" w:w="3408"/>
          </w:tcPr>
          <w:p>
            <w:r/>
          </w:p>
        </w:tc>
      </w:tr>
      <w:tr>
        <w:tc>
          <w:tcPr>
            <w:tcW w:type="dxa" w:w="3408"/>
          </w:tcPr>
          <w:p>
            <w:r>
              <w:t>argument</w:t>
            </w:r>
          </w:p>
        </w:tc>
        <w:tc>
          <w:tcPr>
            <w:tcW w:type="dxa" w:w="3408"/>
          </w:tcPr>
          <w:p>
            <w:r>
              <w:t>A value supplied to a function or tool to tell it what to operate on.</w:t>
            </w:r>
          </w:p>
        </w:tc>
        <w:tc>
          <w:tcPr>
            <w:tcW w:type="dxa" w:w="3408"/>
          </w:tcPr>
          <w:p>
            <w:r/>
          </w:p>
        </w:tc>
      </w:tr>
      <w:tr>
        <w:tc>
          <w:tcPr>
            <w:tcW w:type="dxa" w:w="3408"/>
          </w:tcPr>
          <w:p>
            <w:r>
              <w:t>error response</w:t>
            </w:r>
          </w:p>
        </w:tc>
        <w:tc>
          <w:tcPr>
            <w:tcW w:type="dxa" w:w="3408"/>
          </w:tcPr>
          <w:p>
            <w:r>
              <w:t>A message or structured result indicating that a request could not be completed as expected.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Not found</w:t>
            </w:r>
          </w:p>
        </w:tc>
        <w:tc>
          <w:tcPr>
            <w:tcW w:type="dxa" w:w="5112"/>
          </w:tcPr>
          <w:p>
            <w:r>
              <w:t>An explicit absence result rather than a fabricated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ols and APIs"/>
            <wp:cNvGraphicFramePr>
              <a:graphicFrameLocks noChangeAspect="1"/>
            </wp:cNvGraphicFramePr>
            <a:graphic>
              <a:graphicData uri="http://schemas.openxmlformats.org/drawingml/2006/picture">
                <pic:pic>
                  <pic:nvPicPr>
                    <pic:cNvPr id="0" name="7ac3eb2cb5c8c837549b28aaedf3ed1a6eeab56b0c2f15cf663ffcc21dac3f35.png"/>
                    <pic:cNvPicPr/>
                  </pic:nvPicPr>
                  <pic:blipFill>
                    <a:blip r:embed="rId21"/>
                    <a:stretch>
                      <a:fillRect/>
                    </a:stretch>
                  </pic:blipFill>
                  <pic:spPr>
                    <a:xfrm>
                      <a:off x="0" y="0"/>
                      <a:ext cx="5486400" cy="2377440"/>
                    </a:xfrm>
                    <a:prstGeom prst="rect"/>
                  </pic:spPr>
                </pic:pic>
              </a:graphicData>
            </a:graphic>
          </wp:inline>
        </w:drawing>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r>
        <w:t>Read the labelled picture: Does a valid C7 ID permit the extra lending action? Point to the relevant step in the picture, then write the changed result and the rule or evidence that supports it.</w:t>
      </w:r>
    </w:p>
    <w:p>
      <w:r>
        <w:t>Change one thing: Add lend: true to the same call.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ools and APIs"/>
            <wp:cNvGraphicFramePr>
              <a:graphicFrameLocks noChangeAspect="1"/>
            </wp:cNvGraphicFramePr>
            <a:graphic>
              <a:graphicData uri="http://schemas.openxmlformats.org/drawingml/2006/picture">
                <pic:pic>
                  <pic:nvPicPr>
                    <pic:cNvPr id="0" name="62301ea3471ceb03ea25a528bf59190f9e698aa23a9b008577dc5dfd868ef7b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Tools and API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successful tool result supports only its declared data and operation; it does not authorise subsequent side effects.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“Tools and API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Tools and API contracts.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valid C7 ID permit the extra lending action?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ools and APIs"/>
            <wp:cNvGraphicFramePr>
              <a:graphicFrameLocks noChangeAspect="1"/>
            </wp:cNvGraphicFramePr>
            <a:graphic>
              <a:graphicData uri="http://schemas.openxmlformats.org/drawingml/2006/picture">
                <pic:pic>
                  <pic:nvPicPr>
                    <pic:cNvPr id="0" name="e98f2f8c03f1013655ebe6b5744d471165e78cb03d650c857bc06dc1ee557d55.png"/>
                    <pic:cNvPicPr/>
                  </pic:nvPicPr>
                  <pic:blipFill>
                    <a:blip r:embed="rId25"/>
                    <a:stretch>
                      <a:fillRect/>
                    </a:stretch>
                  </pic:blipFill>
                  <pic:spPr>
                    <a:xfrm>
                      <a:off x="0" y="0"/>
                      <a:ext cx="5486400" cy="1901952"/>
                    </a:xfrm>
                    <a:prstGeom prst="rect"/>
                  </pic:spPr>
                </pic:pic>
              </a:graphicData>
            </a:graphic>
          </wp:inline>
        </w:drawing>
      </w:r>
    </w:p>
    <w:p>
      <w:r>
        <w:t>Match requests to schemas, validate arguments, simulate successful and failed calls, and design a maximum retry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ools and API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ools and APIs"/>
            <wp:cNvGraphicFramePr>
              <a:graphicFrameLocks noChangeAspect="1"/>
            </wp:cNvGraphicFramePr>
            <a:graphic>
              <a:graphicData uri="http://schemas.openxmlformats.org/drawingml/2006/picture">
                <pic:pic>
                  <pic:nvPicPr>
                    <pic:cNvPr id="0" name="5e560882c7885b6f322e39ede9e4b0ac13d49ce6c1e13cb9ebacad526aa8ce32.png"/>
                    <pic:cNvPicPr/>
                  </pic:nvPicPr>
                  <pic:blipFill>
                    <a:blip r:embed="rId27"/>
                    <a:stretch>
                      <a:fillRect/>
                    </a:stretch>
                  </pic:blipFill>
                  <pic:spPr>
                    <a:xfrm>
                      <a:off x="0" y="0"/>
                      <a:ext cx="5486400" cy="1901952"/>
                    </a:xfrm>
                    <a:prstGeom prst="rect"/>
                  </pic:spPr>
                </pic:pic>
              </a:graphicData>
            </a:graphic>
          </wp:inline>
        </w:drawing>
      </w:r>
    </w:p>
    <w:p>
      <w:r>
        <w:t>THIS WEEK’S CHECKPOINT  Allow only retrieval and calculator tools with validated arguments and visible results.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ools and APIs"/>
            <wp:cNvGraphicFramePr>
              <a:graphicFrameLocks noChangeAspect="1"/>
            </wp:cNvGraphicFramePr>
            <a:graphic>
              <a:graphicData uri="http://schemas.openxmlformats.org/drawingml/2006/picture">
                <pic:pic>
                  <pic:nvPicPr>
                    <pic:cNvPr id="0" name="363c88245b5765c5890223b49b17f65658874d9746bbd8c0f5ff7d807c6fe365.png"/>
                    <pic:cNvPicPr/>
                  </pic:nvPicPr>
                  <pic:blipFill>
                    <a:blip r:embed="rId28"/>
                    <a:stretch>
                      <a:fillRect/>
                    </a:stretch>
                  </pic:blipFill>
                  <pic:spPr>
                    <a:xfrm>
                      <a:off x="0" y="0"/>
                      <a:ext cx="5486400" cy="1901952"/>
                    </a:xfrm>
                    <a:prstGeom prst="rect"/>
                  </pic:spPr>
                </pic:pic>
              </a:graphicData>
            </a:graphic>
          </wp:inline>
        </w:drawing>
      </w:r>
    </w:p>
    <w:p>
      <w:r>
        <w:t>CHALLENGE  Match tool schemas to requests and handle one failure.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An assistant has calculator and source-search tools. Request: 12 times 9 and habitat definition from a class pack.</w:t>
      </w:r>
    </w:p>
    <w:p>
      <w:pPr>
        <w:pStyle w:val="Heading3"/>
      </w:pPr>
      <w:r>
        <w:t>The question</w:t>
      </w:r>
    </w:p>
    <w:p>
      <w:r>
        <w:t>Choose and verify tools.</w:t>
      </w:r>
    </w:p>
    <w:p>
      <w:pPr>
        <w:pStyle w:val="Heading3"/>
      </w:pPr>
      <w:r>
        <w:t>Worked explanation</w:t>
      </w:r>
    </w:p>
    <w:p>
      <w:r>
        <w:t>Calculator returns 108; search retrieves the definition. Verify inputs, outputs and supporting passage before answering.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tool for each subtask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times 9</w:t>
            </w:r>
          </w:p>
        </w:tc>
        <w:tc>
          <w:tcPr>
            <w:tcW w:type="dxa" w:w="5112"/>
          </w:tcPr>
          <w:p>
            <w:r>
              <w:t>Calculator → 108</w:t>
            </w:r>
          </w:p>
        </w:tc>
      </w:tr>
      <w:tr>
        <w:tc>
          <w:tcPr>
            <w:tcW w:type="dxa" w:w="5112"/>
          </w:tcPr>
          <w:p>
            <w:r>
              <w:t>Habitat definition</w:t>
            </w:r>
          </w:p>
        </w:tc>
        <w:tc>
          <w:tcPr>
            <w:tcW w:type="dxa" w:w="5112"/>
          </w:tcPr>
          <w:p>
            <w:r>
              <w:t>Search approved class pack</w:t>
            </w:r>
          </w:p>
        </w:tc>
      </w:tr>
      <w:tr>
        <w:tc>
          <w:tcPr>
            <w:tcW w:type="dxa" w:w="5112"/>
          </w:tcPr>
          <w:p>
            <w:r>
              <w:t>Before answering</w:t>
            </w:r>
          </w:p>
        </w:tc>
        <w:tc>
          <w:tcPr>
            <w:tcW w:type="dxa" w:w="5112"/>
          </w:tcPr>
          <w:p>
            <w:r>
              <w:t>Verify input, result and support</w:t>
            </w:r>
          </w:p>
        </w:tc>
      </w:tr>
    </w:tbl>
    <w:p>
      <w:r>
        <w:t>An assistant has calculator and source-search tools. Request: 12 times 9 and habitat definition from a class pack.</w:t>
      </w:r>
    </w:p>
    <w:p>
      <w:r>
        <w:t>Choose and verify tools.</w:t>
      </w:r>
    </w:p>
    <w:p>
      <w:r>
        <w:t>Calculator returns 108; search retrieves the definition. Verify inputs, outputs and supporting passage before answering.</w:t>
      </w:r>
    </w:p>
    <w:p>
      <w:pPr>
        <w:pStyle w:val="Heading1"/>
      </w:pPr>
      <w:r>
        <w:t>14. Try a new case independently</w:t>
      </w:r>
    </w:p>
    <w:p>
      <w:pPr>
        <w:pStyle w:val="Heading3"/>
      </w:pPr>
      <w:r>
        <w:t>Independent case: Apply a new case independently</w:t>
      </w:r>
    </w:p>
    <w:p>
      <w: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tool can look up book availability and also place an order. The user asks only whether a book is available. Which action is authorized?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Allow only retrieval and calculator tools with validated arguments and visible results.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tool can calculate or search supplied notes. The request is 'What is 17×6, and where do roots take up water?' Assign each subtask and describe output checks.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a library lookup call before it reaches a tool.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tools and api contracts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tools and api contracts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