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ai-3/25</w:t>
      </w:r>
    </w:p>
    <w:p>
      <w:pPr>
        <w:pStyle w:val="Title"/>
      </w:pPr>
      <w:r>
        <w:t>Quality Rubrics</w:t>
      </w:r>
    </w:p>
    <w:p>
      <w:r>
        <w:t>Project: Verified Study Buddy</w:t>
      </w:r>
    </w:p>
    <w:p>
      <w:pPr>
        <w:pStyle w:val="Heading1"/>
      </w:pPr>
      <w:r>
        <w:t>Before you start</w:t>
      </w:r>
    </w:p>
    <w:p>
      <w:r>
        <w:t>Week 6: rubric points must represent the intended requirement.</w:t>
      </w:r>
    </w:p>
    <w:p>
      <w:pPr>
        <w:pStyle w:val="Heading1"/>
      </w:pPr>
      <w:r>
        <w:t>01. Your mission</w:t>
      </w:r>
    </w:p>
    <w:p>
      <w:pPr>
        <w:pStyle w:val="Heading3"/>
      </w:pPr>
      <w:r>
        <w:t>Your learning target</w:t>
      </w:r>
    </w:p>
    <w:p>
      <w:r>
        <w:t>I can explain the mechanism and terminology of system evaluation sets.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Prototype a Grounded Assistant. Give an example and a mistake that the idea helps you avoid.</w:t>
      </w:r>
    </w:p>
    <w:p>
      <w:r>
        <w:t>Without opening the old lesson, explain one key idea from Requests Responses and JSON. Give an example and a mistake that the idea helps you avoid.</w:t>
      </w:r>
    </w:p>
    <w:p>
      <w:r>
        <w:t>Without opening the old lesson, explain one key idea from User Need and AI Contribution. Give an example and a mistake that the idea helps you avoid.</w:t>
      </w:r>
    </w:p>
    <w:p>
      <w:r>
        <w:t>After trying, check the relevant lesson or ask your teacher. Change the part of your explanation that the evidence shows was wrong.</w:t>
      </w:r>
    </w:p>
    <w:p>
      <w:r>
        <w:t>Week 25: Quality Rubrics</w:t>
      </w:r>
    </w:p>
    <w:p>
      <w:r>
        <w:t>Usefulness, correctness, clarity, safety, and completeness must be judged separately.</w:t>
      </w:r>
    </w:p>
    <w:p>
      <w:r>
        <w:drawing>
          <wp:inline xmlns:a="http://schemas.openxmlformats.org/drawingml/2006/main" xmlns:pic="http://schemas.openxmlformats.org/drawingml/2006/picture">
            <wp:extent cx="2942705" cy="2942705"/>
            <wp:docPr id="1" name="Picture 1" descr="Week 25 illustration: Quality Rubrics"/>
            <wp:cNvGraphicFramePr>
              <a:graphicFrameLocks noChangeAspect="1"/>
            </wp:cNvGraphicFramePr>
            <a:graphic>
              <a:graphicData uri="http://schemas.openxmlformats.org/drawingml/2006/picture">
                <pic:pic>
                  <pic:nvPicPr>
                    <pic:cNvPr id="0" name="89bb972858d755c9d232f1810783b198e84a2bb641566dd5ce9264e6036582b2.png"/>
                    <pic:cNvPicPr/>
                  </pic:nvPicPr>
                  <pic:blipFill>
                    <a:blip r:embed="rId9"/>
                    <a:stretch>
                      <a:fillRect/>
                    </a:stretch>
                  </pic:blipFill>
                  <pic:spPr>
                    <a:xfrm>
                      <a:off x="0" y="0"/>
                      <a:ext cx="2942705" cy="2942705"/>
                    </a:xfrm>
                    <a:prstGeom prst="rect"/>
                  </pic:spPr>
                </pic:pic>
              </a:graphicData>
            </a:graphic>
          </wp:inline>
        </w:drawing>
      </w:r>
    </w:p>
    <w:p>
      <w:r>
        <w:t>CREATOR MISSION</w:t>
      </w:r>
    </w:p>
    <w:p>
      <w:r>
        <w:t>Score outputs and justify disagreements with evidence.</w:t>
      </w:r>
    </w:p>
    <w:p>
      <w: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Recall Latency cost and resource use. Explain why a recorded result needs its input conditions and evidence source before it can support a claim.</w:t>
      </w:r>
    </w:p>
    <w:p>
      <w:pPr>
        <w:pStyle w:val="Heading3"/>
      </w:pPr>
      <w:r>
        <w:t>This week’s end goal</w:t>
      </w:r>
    </w:p>
    <w:p>
      <w:r>
        <w:t>By the end, I can explain quality rubrics using a traced example and a stated limitation.</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Quality Rubrics"/>
            <wp:cNvGraphicFramePr>
              <a:graphicFrameLocks noChangeAspect="1"/>
            </wp:cNvGraphicFramePr>
            <a:graphic>
              <a:graphicData uri="http://schemas.openxmlformats.org/drawingml/2006/picture">
                <pic:pic>
                  <pic:nvPicPr>
                    <pic:cNvPr id="0" name="89bb972858d755c9d232f1810783b198e84a2bb641566dd5ce9264e6036582b2.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quality rubrics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system evaluation set contains cases with expected behaviour and scoring rules. It should cover retrieval, support, fallback and permissions rather than only easy answerable questions.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Quality Rubrics"/>
            <wp:cNvGraphicFramePr>
              <a:graphicFrameLocks noChangeAspect="1"/>
            </wp:cNvGraphicFramePr>
            <a:graphic>
              <a:graphicData uri="http://schemas.openxmlformats.org/drawingml/2006/picture">
                <pic:pic>
                  <pic:nvPicPr>
                    <pic:cNvPr id="0" name="ab567300d0dca3e7f0e12aa17fe133c6c44917877c1e63cdb2272bdd6a3c4baa.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Quality Rubrics"/>
            <wp:cNvGraphicFramePr>
              <a:graphicFrameLocks noChangeAspect="1"/>
            </wp:cNvGraphicFramePr>
            <a:graphic>
              <a:graphicData uri="http://schemas.openxmlformats.org/drawingml/2006/picture">
                <pic:pic>
                  <pic:nvPicPr>
                    <pic:cNvPr id="0" name="ba6462367cdbeaa186779a3cfae767cc20a0cef55e5cc36c40c2d423153929c1.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Quality Rubrics"/>
            <wp:cNvGraphicFramePr>
              <a:graphicFrameLocks noChangeAspect="1"/>
            </wp:cNvGraphicFramePr>
            <a:graphic>
              <a:graphicData uri="http://schemas.openxmlformats.org/drawingml/2006/picture">
                <pic:pic>
                  <pic:nvPicPr>
                    <pic:cNvPr id="0" name="ff548bfe958bb54466e7eaab5280a2f896bad341faf6c12f88cebc5602f26abf.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Record case ID, evidence version, expected claims or fallback, permitted actions and scoring rubric. Separate development from final cases. Aggregate metrics only after checking required conditions individually.</w:t>
      </w:r>
    </w:p>
    <w:p>
      <w:pPr>
        <w:pStyle w:val="Heading3"/>
      </w:pPr>
      <w:r>
        <w:t>System evaluation sets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Ten cases include six answerable and four missing-evidence cases. System answers five answerable correctly and abstains appropriately on three missing cases.</w:t>
            </w:r>
          </w:p>
        </w:tc>
        <w:tc>
          <w:tcPr>
            <w:tcW w:type="dxa" w:w="3408"/>
          </w:tcPr>
          <w:p>
            <w:r>
              <w:t>Record case ID, evidence version, expected claims or fallback, permitted actions and scoring rubric. Separate development from final cases. Aggregate metrics only after checking required conditions individually.</w:t>
            </w:r>
          </w:p>
        </w:tc>
        <w:tc>
          <w:tcPr>
            <w:tcW w:type="dxa" w:w="3408"/>
          </w:tcPr>
          <w:p>
            <w:r>
              <w:t>Answer correctness 5/6; appropriate fallback 3/4; combined contract passes 8/10 if each case has one required outcome. Different denominators answer different questions.</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Remove the unsupported sentence while preserving the supported one.</w:t>
      </w:r>
    </w:p>
    <w:p>
      <w:r>
        <w:t>Prediction: The revised one-sentence answer passes these two declared checks.</w:t>
      </w:r>
    </w:p>
    <w:p>
      <w:r>
        <w:t>Reason: The remaining claim is supported and one sentence is within the maximum.</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dimension"/>
            <wp:cNvGraphicFramePr>
              <a:graphicFrameLocks noChangeAspect="1"/>
            </wp:cNvGraphicFramePr>
            <a:graphic>
              <a:graphicData uri="http://schemas.openxmlformats.org/drawingml/2006/picture">
                <pic:pic>
                  <pic:nvPicPr>
                    <pic:cNvPr id="0" name="21c68ccb151860df9a40e3aabc0f921e15db20fd051fb3c36d0019bc76934a70.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anchor"/>
            <wp:cNvGraphicFramePr>
              <a:graphicFrameLocks noChangeAspect="1"/>
            </wp:cNvGraphicFramePr>
            <a:graphic>
              <a:graphicData uri="http://schemas.openxmlformats.org/drawingml/2006/picture">
                <pic:pic>
                  <pic:nvPicPr>
                    <pic:cNvPr id="0" name="4c9cb9622c69436283f799486e5a9e6ae4b06938d98af063642988a78bc12375.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inter-rater agreement"/>
            <wp:cNvGraphicFramePr>
              <a:graphicFrameLocks noChangeAspect="1"/>
            </wp:cNvGraphicFramePr>
            <a:graphic>
              <a:graphicData uri="http://schemas.openxmlformats.org/drawingml/2006/picture">
                <pic:pic>
                  <pic:nvPicPr>
                    <pic:cNvPr id="0" name="b947fc078698385b1d9c01218392acd0396b81ded74505ffcbd4bb7b4e2378fd.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tradeoff"/>
            <wp:cNvGraphicFramePr>
              <a:graphicFrameLocks noChangeAspect="1"/>
            </wp:cNvGraphicFramePr>
            <a:graphic>
              <a:graphicData uri="http://schemas.openxmlformats.org/drawingml/2006/picture">
                <pic:pic>
                  <pic:nvPicPr>
                    <pic:cNvPr id="0" name="00423e299ebd6a7fc6d75d2f612eb1d70777c6262416d8b6dadeb0ae36fa5856.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dimension</w:t>
            </w:r>
          </w:p>
        </w:tc>
        <w:tc>
          <w:tcPr>
            <w:tcW w:type="dxa" w:w="3408"/>
          </w:tcPr>
          <w:p>
            <w:r>
              <w:t>One component or axis of a representation, such as one feature in a vector.</w:t>
            </w:r>
          </w:p>
        </w:tc>
        <w:tc>
          <w:tcPr>
            <w:tcW w:type="dxa" w:w="3408"/>
          </w:tcPr>
          <w:p>
            <w:r/>
          </w:p>
        </w:tc>
      </w:tr>
      <w:tr>
        <w:tc>
          <w:tcPr>
            <w:tcW w:type="dxa" w:w="3408"/>
          </w:tcPr>
          <w:p>
            <w:r>
              <w:t>anchor</w:t>
            </w:r>
          </w:p>
        </w:tc>
        <w:tc>
          <w:tcPr>
            <w:tcW w:type="dxa" w:w="3408"/>
          </w:tcPr>
          <w:p>
            <w:r>
              <w:t>A reference example used to make a judgment or scoring standard concrete.</w:t>
            </w:r>
          </w:p>
        </w:tc>
        <w:tc>
          <w:tcPr>
            <w:tcW w:type="dxa" w:w="3408"/>
          </w:tcPr>
          <w:p>
            <w:r/>
          </w:p>
        </w:tc>
      </w:tr>
      <w:tr>
        <w:tc>
          <w:tcPr>
            <w:tcW w:type="dxa" w:w="3408"/>
          </w:tcPr>
          <w:p>
            <w:r>
              <w:t>inter-rater agreement</w:t>
            </w:r>
          </w:p>
        </w:tc>
        <w:tc>
          <w:tcPr>
            <w:tcW w:type="dxa" w:w="3408"/>
          </w:tcPr>
          <w:p>
            <w:r>
              <w:t>The extent to which different labelers give matching judgments on the same cases.</w:t>
            </w:r>
          </w:p>
        </w:tc>
        <w:tc>
          <w:tcPr>
            <w:tcW w:type="dxa" w:w="3408"/>
          </w:tcPr>
          <w:p>
            <w:r/>
          </w:p>
        </w:tc>
      </w:tr>
      <w:tr>
        <w:tc>
          <w:tcPr>
            <w:tcW w:type="dxa" w:w="3408"/>
          </w:tcPr>
          <w:p>
            <w:r>
              <w:t>tradeoff</w:t>
            </w:r>
          </w:p>
        </w:tc>
        <w:tc>
          <w:tcPr>
            <w:tcW w:type="dxa" w:w="3408"/>
          </w:tcPr>
          <w:p>
            <w:r>
              <w:t>A situation where improving one desired property can make another harder to achieve.</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Evaluation case</w:t>
            </w:r>
          </w:p>
        </w:tc>
        <w:tc>
          <w:tcPr>
            <w:tcW w:type="dxa" w:w="5112"/>
          </w:tcPr>
          <w:p>
            <w:r>
              <w:t>An input with evidence and prespecified expected behaviour</w:t>
            </w:r>
          </w:p>
        </w:tc>
      </w:tr>
      <w:tr>
        <w:tc>
          <w:tcPr>
            <w:tcW w:type="dxa" w:w="5112"/>
          </w:tcPr>
          <w:p>
            <w:r>
              <w:t>Coverage</w:t>
            </w:r>
          </w:p>
        </w:tc>
        <w:tc>
          <w:tcPr>
            <w:tcW w:type="dxa" w:w="5112"/>
          </w:tcPr>
          <w:p>
            <w:r>
              <w:t>Which relevant conditions are represented</w:t>
            </w:r>
          </w:p>
        </w:tc>
      </w:tr>
      <w:tr>
        <w:tc>
          <w:tcPr>
            <w:tcW w:type="dxa" w:w="5112"/>
          </w:tcPr>
          <w:p>
            <w:r>
              <w:t>Contract pass</w:t>
            </w:r>
          </w:p>
        </w:tc>
        <w:tc>
          <w:tcPr>
            <w:tcW w:type="dxa" w:w="5112"/>
          </w:tcPr>
          <w:p>
            <w:r>
              <w:t>Satisfying the declared requirements for one case</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Quality Rubrics"/>
            <wp:cNvGraphicFramePr>
              <a:graphicFrameLocks noChangeAspect="1"/>
            </wp:cNvGraphicFramePr>
            <a:graphic>
              <a:graphicData uri="http://schemas.openxmlformats.org/drawingml/2006/picture">
                <pic:pic>
                  <pic:nvPicPr>
                    <pic:cNvPr id="0" name="0ffa897643215e6100ce4babe9b29026ada68289928827c1ecdb73e5c335272a.png"/>
                    <pic:cNvPicPr/>
                  </pic:nvPicPr>
                  <pic:blipFill>
                    <a:blip r:embed="rId21"/>
                    <a:stretch>
                      <a:fillRect/>
                    </a:stretch>
                  </pic:blipFill>
                  <pic:spPr>
                    <a:xfrm>
                      <a:off x="0" y="0"/>
                      <a:ext cx="5486400" cy="2377440"/>
                    </a:xfrm>
                    <a:prstGeom prst="rect"/>
                  </pic:spPr>
                </pic:pic>
              </a:graphicData>
            </a:graphic>
          </wp:inline>
        </w:drawing>
      </w:r>
    </w:p>
    <w:p>
      <w:r>
        <w:t>1. Output is clear and useful but contains one unsupported claim.</w:t>
      </w:r>
    </w:p>
    <w:p>
      <w:r>
        <w:t>2. Clarity=4 does not cancel correctness=1.</w:t>
      </w:r>
    </w:p>
    <w:p>
      <w:r>
        <w:t>3. Score each dimension using observable anchors.</w:t>
      </w:r>
    </w:p>
    <w:p>
      <w:r>
        <w:t>4. Discuss scorer disagreements and refine ambiguous anchors.</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Ten cases include six answerable and four missing-evidence cases. System answers five answerable correctly and abstains appropriately on three missing cases.</w:t>
      </w:r>
    </w:p>
    <w:p>
      <w:r>
        <w:t>Answer correctness 5/6; appropriate fallback 3/4; combined contract passes 8/10 if each case has one required outcome. Different denominators answer different questions.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Quality Rubrics</w:t>
      </w:r>
    </w:p>
    <w:p>
      <w:r>
        <w:t>Use a quality rubric whose safety gate cannot be traded for attractive formatting.</w:t>
      </w:r>
    </w:p>
    <w:p>
      <w:pPr>
        <w:pStyle w:val="Heading3"/>
      </w:pPr>
      <w:r>
        <w:t>The facts we will use</w:t>
      </w:r>
    </w:p>
    <w:p>
      <w:r>
        <w:t>Approved S1 says: “A root anchors a plant in soil.” Rubric: every claim supported by S1, at most two sentences. Draft: “A root anchors a plant in soil. Roots grow exactly 2 cm each day.”</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5" name="Picture 15" descr="Quality Rubrics. Check support: The anchoring sentence matches S1. The daily 2 cm growth sentence has no supporting evidence in S1.. Check format: Two sentences satisfy the format requirement.. Apply gate: Reject the answer for unsupported content despite its correct length."/>
            <wp:cNvGraphicFramePr>
              <a:graphicFrameLocks noChangeAspect="1"/>
            </wp:cNvGraphicFramePr>
            <a:graphic>
              <a:graphicData uri="http://schemas.openxmlformats.org/drawingml/2006/picture">
                <pic:pic>
                  <pic:nvPicPr>
                    <pic:cNvPr id="0" name="academy-visual-ai-3-25.png"/>
                    <pic:cNvPicPr/>
                  </pic:nvPicPr>
                  <pic:blipFill>
                    <a:blip r:embed="rId22"/>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Check support</w:t>
            </w:r>
          </w:p>
        </w:tc>
        <w:tc>
          <w:tcPr>
            <w:tcW w:type="dxa" w:w="5112"/>
          </w:tcPr>
          <w:p>
            <w:r>
              <w:t>The anchoring sentence matches S1. The daily 2 cm growth sentence has no supporting evidence in S1.</w:t>
            </w:r>
          </w:p>
        </w:tc>
      </w:tr>
      <w:tr>
        <w:tc>
          <w:tcPr>
            <w:tcW w:type="dxa" w:w="5112"/>
          </w:tcPr>
          <w:p>
            <w:r>
              <w:t>2. Check format</w:t>
            </w:r>
          </w:p>
        </w:tc>
        <w:tc>
          <w:tcPr>
            <w:tcW w:type="dxa" w:w="5112"/>
          </w:tcPr>
          <w:p>
            <w:r>
              <w:t>Two sentences satisfy the format requirement.</w:t>
            </w:r>
          </w:p>
        </w:tc>
      </w:tr>
      <w:tr>
        <w:tc>
          <w:tcPr>
            <w:tcW w:type="dxa" w:w="5112"/>
          </w:tcPr>
          <w:p>
            <w:r>
              <w:t>3. Apply gate</w:t>
            </w:r>
          </w:p>
        </w:tc>
        <w:tc>
          <w:tcPr>
            <w:tcW w:type="dxa" w:w="5112"/>
          </w:tcPr>
          <w:p>
            <w:r>
              <w:t>Reject the answer for unsupported content despite its correct length.</w:t>
            </w:r>
          </w:p>
        </w:tc>
      </w:tr>
    </w:tbl>
    <w:p>
      <w:r>
        <w:t>Match each pictured step to the supplied facts. This is a worked teaching case, not an independent assessment.</w:t>
      </w:r>
    </w:p>
    <w:p>
      <w:pPr>
        <w:pStyle w:val="Heading3"/>
      </w:pPr>
      <w:r>
        <w:t>Why this result follows</w:t>
      </w:r>
    </w:p>
    <w:p>
      <w:r>
        <w:t>Compare each draft sentence directly with S1. The anchoring claim matches the supplied source; the daily growth claim adds a measurement the source never gives. Two sentences pass the format rule, but unsupported content fails the mandatory evidence gate. Removing that sentence repairs the support defect rather than merely polishing the wording.</w:t>
      </w:r>
    </w:p>
    <w:p>
      <w:pPr>
        <w:pStyle w:val="Heading3"/>
      </w:pPr>
      <w:r>
        <w:t>What this example does not establish</w:t>
      </w:r>
    </w:p>
    <w:p>
      <w:r>
        <w:t>Passing this small rubric does not establish readability, completeness or benefit across every pupil and question.</w:t>
      </w:r>
    </w:p>
    <w:p>
      <w:r>
        <w:t>Read the labelled picture: Why is “one out of two checks passed” an insufficient release decision? Point to the relevant step in the picture, then write the changed result and the rule or evidence that supports it.</w:t>
      </w:r>
    </w:p>
    <w:p>
      <w:r>
        <w:t>Change one thing: Remove the unsupported sentence while preserving the supported one.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Quality Rubrics"/>
            <wp:cNvGraphicFramePr>
              <a:graphicFrameLocks noChangeAspect="1"/>
            </wp:cNvGraphicFramePr>
            <a:graphic>
              <a:graphicData uri="http://schemas.openxmlformats.org/drawingml/2006/picture">
                <pic:pic>
                  <pic:nvPicPr>
                    <pic:cNvPr id="0" name="76ead30b2195926fa468e94ab48383116dc1d2d85d9960400024889808b9ae19.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Specify Before You Run</w:t>
      </w:r>
    </w:p>
    <w:p>
      <w:r>
        <w:t>Prompts, schemas, retrieval, tool calls, and code are inspectable parts of one AI product.</w:t>
      </w:r>
    </w:p>
    <w:p>
      <w:r>
        <w:drawing>
          <wp:inline xmlns:a="http://schemas.openxmlformats.org/drawingml/2006/main" xmlns:pic="http://schemas.openxmlformats.org/drawingml/2006/picture">
            <wp:extent cx="5486400" cy="1901952"/>
            <wp:docPr id="17" name="Picture 17" descr="Logic tracing graphic for Quality Rubrics"/>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4"/>
                    <a:stretch>
                      <a:fillRect/>
                    </a:stretch>
                  </pic:blipFill>
                  <pic:spPr>
                    <a:xfrm>
                      <a:off x="0" y="0"/>
                      <a:ext cx="5486400" cy="1901952"/>
                    </a:xfrm>
                    <a:prstGeom prst="rect"/>
                  </pic:spPr>
                </pic:pic>
              </a:graphicData>
            </a:graphic>
          </wp:inline>
        </w:drawing>
      </w:r>
    </w:p>
    <w:p>
      <w:r>
        <w:t>SET task, audience, constraints, output_schema</w:t>
        <w:br/>
        <w:t>LOAD approved_context or retrieval_result</w:t>
        <w:br/>
        <w:t>CALL model or allowed_tool</w:t>
        <w:br/>
        <w:t>VALIDATE fields, claims, citations, and safety</w:t>
        <w:br/>
        <w:t>IF evidence missing: ask, retrieve, or abstain</w:t>
        <w:br/>
        <w:t>RETURN useful output + source trail + limitations</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Evaluation coverage limits the claim; prompts tuned on these cases need new reserved final cases.</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“System evaluation sets”.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System evaluation sets.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Why is “one out of two checks passed” an insufficient release decision?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Quality Rubrics"/>
            <wp:cNvGraphicFramePr>
              <a:graphicFrameLocks noChangeAspect="1"/>
            </wp:cNvGraphicFramePr>
            <a:graphic>
              <a:graphicData uri="http://schemas.openxmlformats.org/drawingml/2006/picture">
                <pic:pic>
                  <pic:nvPicPr>
                    <pic:cNvPr id="0" name="51adab60f19c9a01b6cfde49021c29e3547897d872d02008e8a9678eb65d5f27.png"/>
                    <pic:cNvPicPr/>
                  </pic:nvPicPr>
                  <pic:blipFill>
                    <a:blip r:embed="rId25"/>
                    <a:stretch>
                      <a:fillRect/>
                    </a:stretch>
                  </pic:blipFill>
                  <pic:spPr>
                    <a:xfrm>
                      <a:off x="0" y="0"/>
                      <a:ext cx="5486400" cy="1901952"/>
                    </a:xfrm>
                    <a:prstGeom prst="rect"/>
                  </pic:spPr>
                </pic:pic>
              </a:graphicData>
            </a:graphic>
          </wp:inline>
        </w:drawing>
      </w:r>
    </w:p>
    <w:p>
      <w:r>
        <w:t>Score three outputs independently, compare by dimension, cite evidence for each score, and improve one weak anchor.</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Quality Rubrics"/>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Verified Study Buddy</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Quality Rubrics"/>
            <wp:cNvGraphicFramePr>
              <a:graphicFrameLocks noChangeAspect="1"/>
            </wp:cNvGraphicFramePr>
            <a:graphic>
              <a:graphicData uri="http://schemas.openxmlformats.org/drawingml/2006/picture">
                <pic:pic>
                  <pic:nvPicPr>
                    <pic:cNvPr id="0" name="6a09586e934ec5ac352e23f6557c707e80f11f786aa5fe01ff4a216b146bed9d.png"/>
                    <pic:cNvPicPr/>
                  </pic:nvPicPr>
                  <pic:blipFill>
                    <a:blip r:embed="rId27"/>
                    <a:stretch>
                      <a:fillRect/>
                    </a:stretch>
                  </pic:blipFill>
                  <pic:spPr>
                    <a:xfrm>
                      <a:off x="0" y="0"/>
                      <a:ext cx="5486400" cy="1901952"/>
                    </a:xfrm>
                    <a:prstGeom prst="rect"/>
                  </pic:spPr>
                </pic:pic>
              </a:graphicData>
            </a:graphic>
          </wp:inline>
        </w:drawing>
      </w:r>
    </w:p>
    <w:p>
      <w:r>
        <w:t>THIS WEEK’S CHECKPOINT  Use a five-dimension rubric and block release when correctness or safety is below threshold.</w:t>
      </w:r>
    </w:p>
    <w:p>
      <w:r>
        <w:t>SYSTEM MAP  Learner need → prompt/schema → approved sources/retrieval → model/tool → structured answer → verification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fluent output with verified truth.</w:t>
      </w:r>
    </w:p>
    <w:p>
      <w:pPr>
        <w:pStyle w:val="Heading3"/>
      </w:pPr>
      <w:r>
        <w:t>Evidence for your project</w:t>
      </w:r>
    </w:p>
    <w:p>
      <w:r>
        <w:t>For your Verified Study Buddy,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Quality Rubrics"/>
            <wp:cNvGraphicFramePr>
              <a:graphicFrameLocks noChangeAspect="1"/>
            </wp:cNvGraphicFramePr>
            <a:graphic>
              <a:graphicData uri="http://schemas.openxmlformats.org/drawingml/2006/picture">
                <pic:pic>
                  <pic:nvPicPr>
                    <pic:cNvPr id="0" name="4c3259a90e43ecb425aa71f9d1cc4d477eb99ae32a8ef88227a8dd93b57bf724.png"/>
                    <pic:cNvPicPr/>
                  </pic:nvPicPr>
                  <pic:blipFill>
                    <a:blip r:embed="rId28"/>
                    <a:stretch>
                      <a:fillRect/>
                    </a:stretch>
                  </pic:blipFill>
                  <pic:spPr>
                    <a:xfrm>
                      <a:off x="0" y="0"/>
                      <a:ext cx="5486400" cy="1901952"/>
                    </a:xfrm>
                    <a:prstGeom prst="rect"/>
                  </pic:spPr>
                </pic:pic>
              </a:graphicData>
            </a:graphic>
          </wp:inline>
        </w:drawing>
      </w:r>
    </w:p>
    <w:p>
      <w:r>
        <w:t>CHALLENGE  Score outputs and justify disagreements with evidence.</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25 Worked case</w:t>
      </w:r>
    </w:p>
    <w:p>
      <w:r>
        <w:t>Use the supplied details to practise the weekly concept before attempting the independent question. This case extends the illustrated lesson.</w:t>
      </w:r>
    </w:p>
    <w:p>
      <w:pPr>
        <w:pStyle w:val="Heading3"/>
      </w:pPr>
      <w:r>
        <w:t>The situation</w:t>
      </w:r>
    </w:p>
    <w:p>
      <w:r>
        <w:t>Rubric gives 0–2 each for support, usefulness and safety. Response is useful and safe but unsupported.</w:t>
      </w:r>
    </w:p>
    <w:p>
      <w:pPr>
        <w:pStyle w:val="Heading3"/>
      </w:pPr>
      <w:r>
        <w:t>The question</w:t>
      </w:r>
    </w:p>
    <w:p>
      <w:r>
        <w:t>Why can a total mislead?</w:t>
      </w:r>
    </w:p>
    <w:p>
      <w:pPr>
        <w:pStyle w:val="Heading3"/>
      </w:pPr>
      <w:r>
        <w:t>Worked explanation</w:t>
      </w:r>
    </w:p>
    <w:p>
      <w:r>
        <w:t>It may get 4/6 while failing essential support. Declare mandatory criteria before testing so other points cannot compensate.</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A total can hide a required failure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Support</w:t>
            </w:r>
          </w:p>
        </w:tc>
        <w:tc>
          <w:tcPr>
            <w:tcW w:type="dxa" w:w="5112"/>
          </w:tcPr>
          <w:p>
            <w:r>
              <w:t>0</w:t>
            </w:r>
          </w:p>
        </w:tc>
      </w:tr>
      <w:tr>
        <w:tc>
          <w:tcPr>
            <w:tcW w:type="dxa" w:w="5112"/>
          </w:tcPr>
          <w:p>
            <w:r>
              <w:t>Usefulness</w:t>
            </w:r>
          </w:p>
        </w:tc>
        <w:tc>
          <w:tcPr>
            <w:tcW w:type="dxa" w:w="5112"/>
          </w:tcPr>
          <w:p>
            <w:r>
              <w:t>2</w:t>
            </w:r>
          </w:p>
        </w:tc>
      </w:tr>
      <w:tr>
        <w:tc>
          <w:tcPr>
            <w:tcW w:type="dxa" w:w="5112"/>
          </w:tcPr>
          <w:p>
            <w:r>
              <w:t>Safety</w:t>
            </w:r>
          </w:p>
        </w:tc>
        <w:tc>
          <w:tcPr>
            <w:tcW w:type="dxa" w:w="5112"/>
          </w:tcPr>
          <w:p>
            <w:r>
              <w:t>2</w:t>
            </w:r>
          </w:p>
        </w:tc>
      </w:tr>
    </w:tbl>
    <w:p>
      <w:r>
        <w:t>Rubric gives 0–2 each for support, usefulness and safety. Response is useful and safe but unsupported.</w:t>
      </w:r>
    </w:p>
    <w:p>
      <w:r>
        <w:t>Why can a total mislead?</w:t>
      </w:r>
    </w:p>
    <w:p>
      <w:r>
        <w:t>It may get 4/6 while failing essential support. Declare mandatory criteria before testing so other points cannot compensate.</w:t>
      </w:r>
    </w:p>
    <w:p>
      <w:pPr>
        <w:pStyle w:val="Heading1"/>
      </w:pPr>
      <w:r>
        <w:t>14. Try a new case independently</w:t>
      </w:r>
    </w:p>
    <w:p>
      <w:pPr>
        <w:pStyle w:val="Heading3"/>
      </w:pPr>
      <w:r>
        <w:t>Independent case: Apply a new case independently</w:t>
      </w:r>
    </w:p>
    <w:p>
      <w:r>
        <w:t>Twelve cases: eight answerable, four unanswerable. Correct answers six; appropriate abstentions two. Compute separate and combined pass rates.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25 Independent application</w:t>
      </w:r>
    </w:p>
    <w:p>
      <w:r>
        <w:t>Close the worked explanation. Apply the idea to this different question without copying.</w:t>
      </w:r>
    </w:p>
    <w:p>
      <w:r>
        <w:t>Two answers have equally polished language. One has three supported claims; the other has two supported claims and one invented claim. How should a quality rubric distinguish them?</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Use a five-dimension rubric and block release when correctness or safety is below threshold.</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An answer earns 2 for format, 2 for tone and 0 for source support. It gets 4/6. Is it acceptable for a source-only assistant? Revise the rubric's decision rule.</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Use a quality rubric whose safety gate cannot be traded for attractive formatting.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system evaluation sets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system evaluation sets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