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ai-3/30</w:t>
      </w:r>
    </w:p>
    <w:p>
      <w:pPr>
        <w:pStyle w:val="Title"/>
      </w:pPr>
      <w:r>
        <w:t>Bias and Representation</w:t>
      </w:r>
    </w:p>
    <w:p>
      <w:r>
        <w:t>Project: Verified Study Buddy</w:t>
      </w:r>
    </w:p>
    <w:p>
      <w:pPr>
        <w:pStyle w:val="Heading1"/>
      </w:pPr>
      <w:r>
        <w:t>Before you start</w:t>
      </w:r>
    </w:p>
    <w:p>
      <w:r>
        <w:t>AI-2 Week 34: totals can hide uneven performance across groups.</w:t>
      </w:r>
    </w:p>
    <w:p>
      <w:pPr>
        <w:pStyle w:val="Heading1"/>
      </w:pPr>
      <w:r>
        <w:t>01. Your mission</w:t>
      </w:r>
    </w:p>
    <w:p>
      <w:pPr>
        <w:pStyle w:val="Heading3"/>
      </w:pPr>
      <w:r>
        <w:t>Your learning target</w:t>
      </w:r>
    </w:p>
    <w:p>
      <w:r>
        <w:t>I can explain the mechanism and terminology of representation and bias evaluation.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Copyright and Provenance. Give an example and a mistake that the idea helps you avoid.</w:t>
      </w:r>
    </w:p>
    <w:p>
      <w:r>
        <w:t>Without opening the old lesson, explain one key idea from Red Team the Product. Give an example and a mistake that the idea helps you avoid.</w:t>
      </w:r>
    </w:p>
    <w:p>
      <w:r>
        <w:t>Without opening the old lesson, explain one key idea from Prototype a Grounded Assistant. Give an example and a mistake that the idea helps you avoid.</w:t>
      </w:r>
    </w:p>
    <w:p>
      <w:r>
        <w:t>After trying, check the relevant lesson or ask your teacher. Change the part of your explanation that the evidence shows was wrong.</w:t>
      </w:r>
    </w:p>
    <w:p>
      <w:r>
        <w:t>Week 30: Bias and Representation</w:t>
      </w:r>
    </w:p>
    <w:p>
      <w:r>
        <w:t>Outputs should be tested for omission, stereotyping, and uneven quality.</w:t>
      </w:r>
    </w:p>
    <w:p>
      <w:r>
        <w:drawing>
          <wp:inline xmlns:a="http://schemas.openxmlformats.org/drawingml/2006/main" xmlns:pic="http://schemas.openxmlformats.org/drawingml/2006/picture">
            <wp:extent cx="2942705" cy="2942705"/>
            <wp:docPr id="1" name="Picture 1" descr="Week 30 illustration: Bias and Representation"/>
            <wp:cNvGraphicFramePr>
              <a:graphicFrameLocks noChangeAspect="1"/>
            </wp:cNvGraphicFramePr>
            <a:graphic>
              <a:graphicData uri="http://schemas.openxmlformats.org/drawingml/2006/picture">
                <pic:pic>
                  <pic:nvPicPr>
                    <pic:cNvPr id="0" name="e408f07f0c4e886919b4eb9c26b143e962333c18af0b0c71dd1557d88da63309.png"/>
                    <pic:cNvPicPr/>
                  </pic:nvPicPr>
                  <pic:blipFill>
                    <a:blip r:embed="rId9"/>
                    <a:stretch>
                      <a:fillRect/>
                    </a:stretch>
                  </pic:blipFill>
                  <pic:spPr>
                    <a:xfrm>
                      <a:off x="0" y="0"/>
                      <a:ext cx="2942705" cy="2942705"/>
                    </a:xfrm>
                    <a:prstGeom prst="rect"/>
                  </pic:spPr>
                </pic:pic>
              </a:graphicData>
            </a:graphic>
          </wp:inline>
        </w:drawing>
      </w:r>
    </w:p>
    <w:p>
      <w:r>
        <w:t>CREATOR MISSION</w:t>
      </w:r>
    </w:p>
    <w:p>
      <w:r>
        <w:t>Audit a character generator across varied prompts.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Copyright and permitted sources. Explain why a recorded result needs its input conditions and evidence source before it can support a claim.</w:t>
      </w:r>
    </w:p>
    <w:p>
      <w:pPr>
        <w:pStyle w:val="Heading3"/>
      </w:pPr>
      <w:r>
        <w:t>This week’s end goal</w:t>
      </w:r>
    </w:p>
    <w:p>
      <w:r>
        <w:t>By the end, I can explain bias and representation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ias and Representation"/>
            <wp:cNvGraphicFramePr>
              <a:graphicFrameLocks noChangeAspect="1"/>
            </wp:cNvGraphicFramePr>
            <a:graphic>
              <a:graphicData uri="http://schemas.openxmlformats.org/drawingml/2006/picture">
                <pic:pic>
                  <pic:nvPicPr>
                    <pic:cNvPr id="0" name="e408f07f0c4e886919b4eb9c26b143e962333c18af0b0c71dd1557d88da6330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bias and representation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Bias evaluation tests defined outcomes across relevant conditions. Group averages can expose differences but cannot alone establish their cause or the correct remedy.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ias and Representation"/>
            <wp:cNvGraphicFramePr>
              <a:graphicFrameLocks noChangeAspect="1"/>
            </wp:cNvGraphicFramePr>
            <a:graphic>
              <a:graphicData uri="http://schemas.openxmlformats.org/drawingml/2006/picture">
                <pic:pic>
                  <pic:nvPicPr>
                    <pic:cNvPr id="0" name="f9b51a84c97891f817a788b3c191cc09bf3aae54695282ef1230bd6a67f47184.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Bias and Representation"/>
            <wp:cNvGraphicFramePr>
              <a:graphicFrameLocks noChangeAspect="1"/>
            </wp:cNvGraphicFramePr>
            <a:graphic>
              <a:graphicData uri="http://schemas.openxmlformats.org/drawingml/2006/picture">
                <pic:pic>
                  <pic:nvPicPr>
                    <pic:cNvPr id="0" name="1f5099cc910cf960aa4376548d668f3fefb2ccb26faf14919470b3796bb2ca3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Bias and Representation"/>
            <wp:cNvGraphicFramePr>
              <a:graphicFrameLocks noChangeAspect="1"/>
            </wp:cNvGraphicFramePr>
            <a:graphic>
              <a:graphicData uri="http://schemas.openxmlformats.org/drawingml/2006/picture">
                <pic:pic>
                  <pic:nvPicPr>
                    <pic:cNvPr id="0" name="a2c26d14f2aa3e4b0f62db9c9abb3e0fc3446d9910b004a0baf070d1f0327ae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Define the task, relevant groups, labels and denominators before comparing. Use fictional, non-identifying records. Evaluate quality and fallback outcomes separately; preserve sample sizes and unresolved explanations.</w:t>
      </w:r>
    </w:p>
    <w:p>
      <w:pPr>
        <w:pStyle w:val="Heading3"/>
      </w:pPr>
      <w:r>
        <w:t>Representation and bias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grounded assistant supports 9 of 10 group-A cases and 6 of 10 group-B cases.</w:t>
            </w:r>
          </w:p>
        </w:tc>
        <w:tc>
          <w:tcPr>
            <w:tcW w:type="dxa" w:w="3408"/>
          </w:tcPr>
          <w:p>
            <w:r>
              <w:t>Define the task, relevant groups, labels and denominators before comparing. Use fictional, non-identifying records. Evaluate quality and fallback outcomes separately; preserve sample sizes and unresolved explanations.</w:t>
            </w:r>
          </w:p>
        </w:tc>
        <w:tc>
          <w:tcPr>
            <w:tcW w:type="dxa" w:w="3408"/>
          </w:tcPr>
          <w:p>
            <w:r>
              <w:t>Rates 90% and 60%; gap 30 percentage points. Investigate case mix, retrieval coverage and annotation rules before attributing cause.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Pine instead has 6 supported answers out of 12.</w:t>
      </w:r>
    </w:p>
    <w:p>
      <w:r>
        <w:t>Prediction: Pine is 50%, which is 25 percentage points below Birch.</w:t>
      </w:r>
    </w:p>
    <w:p>
      <w:r>
        <w:t>Reason: Equal correct counts do not imply equal rates when denominators differ.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presentation"/>
            <wp:cNvGraphicFramePr>
              <a:graphicFrameLocks noChangeAspect="1"/>
            </wp:cNvGraphicFramePr>
            <a:graphic>
              <a:graphicData uri="http://schemas.openxmlformats.org/drawingml/2006/picture">
                <pic:pic>
                  <pic:nvPicPr>
                    <pic:cNvPr id="0" name="3dec59925e39081805a974a8c62b76c4fa0e790ac36392fc2c35d0c10598a88c.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tereotype"/>
            <wp:cNvGraphicFramePr>
              <a:graphicFrameLocks noChangeAspect="1"/>
            </wp:cNvGraphicFramePr>
            <a:graphic>
              <a:graphicData uri="http://schemas.openxmlformats.org/drawingml/2006/picture">
                <pic:pic>
                  <pic:nvPicPr>
                    <pic:cNvPr id="0" name="0286a51f50cb90ced1dc5771a136bc27a519aa86a4ecdf4d7d65b6d5dcf5bc1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ubgroup quality"/>
            <wp:cNvGraphicFramePr>
              <a:graphicFrameLocks noChangeAspect="1"/>
            </wp:cNvGraphicFramePr>
            <a:graphic>
              <a:graphicData uri="http://schemas.openxmlformats.org/drawingml/2006/picture">
                <pic:pic>
                  <pic:nvPicPr>
                    <pic:cNvPr id="0" name="7b5c23ade357fc4fe2888233cf88bb572f5f6d99ea7bf19812a49187f047243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udit"/>
            <wp:cNvGraphicFramePr>
              <a:graphicFrameLocks noChangeAspect="1"/>
            </wp:cNvGraphicFramePr>
            <a:graphic>
              <a:graphicData uri="http://schemas.openxmlformats.org/drawingml/2006/picture">
                <pic:pic>
                  <pic:nvPicPr>
                    <pic:cNvPr id="0" name="3e2a2c8220dae823481caecb29262be3d46b39afc45a529d2b146323bf03ff2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representation</w:t>
            </w:r>
          </w:p>
        </w:tc>
        <w:tc>
          <w:tcPr>
            <w:tcW w:type="dxa" w:w="3408"/>
          </w:tcPr>
          <w:p>
            <w:r>
              <w:t>A way to encode information so a person or system can work with it.</w:t>
            </w:r>
          </w:p>
        </w:tc>
        <w:tc>
          <w:tcPr>
            <w:tcW w:type="dxa" w:w="3408"/>
          </w:tcPr>
          <w:p>
            <w:r/>
          </w:p>
        </w:tc>
      </w:tr>
      <w:tr>
        <w:tc>
          <w:tcPr>
            <w:tcW w:type="dxa" w:w="3408"/>
          </w:tcPr>
          <w:p>
            <w:r>
              <w:t>stereotype</w:t>
            </w:r>
          </w:p>
        </w:tc>
        <w:tc>
          <w:tcPr>
            <w:tcW w:type="dxa" w:w="3408"/>
          </w:tcPr>
          <w:p>
            <w:r>
              <w:t>An oversimplified expectation about members of a group that ignores individual variation.</w:t>
            </w:r>
          </w:p>
        </w:tc>
        <w:tc>
          <w:tcPr>
            <w:tcW w:type="dxa" w:w="3408"/>
          </w:tcPr>
          <w:p>
            <w:r/>
          </w:p>
        </w:tc>
      </w:tr>
      <w:tr>
        <w:tc>
          <w:tcPr>
            <w:tcW w:type="dxa" w:w="3408"/>
          </w:tcPr>
          <w:p>
            <w:r>
              <w:t>subgroup quality</w:t>
            </w:r>
          </w:p>
        </w:tc>
        <w:tc>
          <w:tcPr>
            <w:tcW w:type="dxa" w:w="3408"/>
          </w:tcPr>
          <w:p>
            <w:r>
              <w:t>Performance measured for a defined subset using stated criteria and denominators.</w:t>
            </w:r>
          </w:p>
        </w:tc>
        <w:tc>
          <w:tcPr>
            <w:tcW w:type="dxa" w:w="3408"/>
          </w:tcPr>
          <w:p>
            <w:r/>
          </w:p>
        </w:tc>
      </w:tr>
      <w:tr>
        <w:tc>
          <w:tcPr>
            <w:tcW w:type="dxa" w:w="3408"/>
          </w:tcPr>
          <w:p>
            <w:r>
              <w:t>audit</w:t>
            </w:r>
          </w:p>
        </w:tc>
        <w:tc>
          <w:tcPr>
            <w:tcW w:type="dxa" w:w="3408"/>
          </w:tcPr>
          <w:p>
            <w:r>
              <w:t>A systematic examination of records and behaviour against stated checks.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Subgroup rate</w:t>
            </w:r>
          </w:p>
        </w:tc>
        <w:tc>
          <w:tcPr>
            <w:tcW w:type="dxa" w:w="5112"/>
          </w:tcPr>
          <w:p>
            <w:r>
              <w:t>A measured outcome within a stated group</w:t>
            </w:r>
          </w:p>
        </w:tc>
      </w:tr>
      <w:tr>
        <w:tc>
          <w:tcPr>
            <w:tcW w:type="dxa" w:w="5112"/>
          </w:tcPr>
          <w:p>
            <w:r>
              <w:t>Percentage-point gap</w:t>
            </w:r>
          </w:p>
        </w:tc>
        <w:tc>
          <w:tcPr>
            <w:tcW w:type="dxa" w:w="5112"/>
          </w:tcPr>
          <w:p>
            <w:r>
              <w:t>The difference between two percentage rates</w:t>
            </w:r>
          </w:p>
        </w:tc>
      </w:tr>
      <w:tr>
        <w:tc>
          <w:tcPr>
            <w:tcW w:type="dxa" w:w="5112"/>
          </w:tcPr>
          <w:p>
            <w:r>
              <w:t>Case mix</w:t>
            </w:r>
          </w:p>
        </w:tc>
        <w:tc>
          <w:tcPr>
            <w:tcW w:type="dxa" w:w="5112"/>
          </w:tcPr>
          <w:p>
            <w:r>
              <w:t>The distribution of task conditions in a group</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Bias and Representation"/>
            <wp:cNvGraphicFramePr>
              <a:graphicFrameLocks noChangeAspect="1"/>
            </wp:cNvGraphicFramePr>
            <a:graphic>
              <a:graphicData uri="http://schemas.openxmlformats.org/drawingml/2006/picture">
                <pic:pic>
                  <pic:nvPicPr>
                    <pic:cNvPr id="0" name="67d3c3168a69eaaefb72fc1da7e04745b418fd376f38d01118f5b8e880e83fa0.png"/>
                    <pic:cNvPicPr/>
                  </pic:nvPicPr>
                  <pic:blipFill>
                    <a:blip r:embed="rId21"/>
                    <a:stretch>
                      <a:fillRect/>
                    </a:stretch>
                  </pic:blipFill>
                  <pic:spPr>
                    <a:xfrm>
                      <a:off x="0" y="0"/>
                      <a:ext cx="5486400" cy="2377440"/>
                    </a:xfrm>
                    <a:prstGeom prst="rect"/>
                  </pic:spPr>
                </pic:pic>
              </a:graphicData>
            </a:graphic>
          </wp:inline>
        </w:drawing>
      </w:r>
    </w:p>
    <w:p>
      <w:r>
        <w:t>1. Generate comparable characters while changing one identity descriptor.</w:t>
      </w:r>
    </w:p>
    <w:p>
      <w:r>
        <w:t>2. Count omissions, stereotyped roles, and quality differences.</w:t>
      </w:r>
    </w:p>
    <w:p>
      <w:r>
        <w:t>3. A balanced count does not alone prove respectful depiction.</w:t>
      </w:r>
    </w:p>
    <w:p>
      <w:r>
        <w:t>4. Repair prompt, data, filters, or use limits, then repeat the fixed audit.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grounded assistant supports 9 of 10 group-A cases and 6 of 10 group-B cases.</w:t>
      </w:r>
    </w:p>
    <w:p>
      <w:r>
        <w:t>Rates 90% and 60%; gap 30 percentage points. Investigate case mix, retrieval coverage and annotation rules before attributing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Bias and Representation</w:t>
      </w:r>
    </w:p>
    <w:p>
      <w:r>
        <w:t>Compare study-answer support rates when groups have different numbers of questions.</w:t>
      </w:r>
    </w:p>
    <w:p>
      <w:pPr>
        <w:pStyle w:val="Heading3"/>
      </w:pPr>
      <w:r>
        <w:t>The facts we will use</w:t>
      </w:r>
    </w:p>
    <w:p>
      <w:r>
        <w:t>Group Birch has 6 supported answers in 8 cases; group Pine has 9 supported answers in 12 cases. Both groups use the same support rubric.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denominators</w:t>
            </w:r>
          </w:p>
        </w:tc>
        <w:tc>
          <w:tcPr>
            <w:tcW w:type="dxa" w:w="5112"/>
          </w:tcPr>
          <w:p>
            <w:r>
              <w:t>Birch: 6/8. Pine: 9/12.</w:t>
            </w:r>
          </w:p>
        </w:tc>
      </w:tr>
      <w:tr>
        <w:tc>
          <w:tcPr>
            <w:tcW w:type="dxa" w:w="5112"/>
          </w:tcPr>
          <w:p>
            <w:r>
              <w:t>2. Compare rates</w:t>
            </w:r>
          </w:p>
        </w:tc>
        <w:tc>
          <w:tcPr>
            <w:tcW w:type="dxa" w:w="5112"/>
          </w:tcPr>
          <w:p>
            <w:r>
              <w:t>Both support rates are 75%; Pine has more correct answers because it has more cases.</w:t>
            </w:r>
          </w:p>
        </w:tc>
      </w:tr>
      <w:tr>
        <w:tc>
          <w:tcPr>
            <w:tcW w:type="dxa" w:w="5112"/>
          </w:tcPr>
          <w:p>
            <w:r>
              <w:t>3. Inspect errors</w:t>
            </w:r>
          </w:p>
        </w:tc>
        <w:tc>
          <w:tcPr>
            <w:tcW w:type="dxa" w:w="5112"/>
          </w:tcPr>
          <w:p>
            <w:r>
              <w:t>Check the two Birch and three Pine failures before deciding what revision each needs.</w:t>
            </w:r>
          </w:p>
        </w:tc>
      </w:tr>
    </w:tbl>
    <w:p>
      <w:r>
        <w:t>Match each pictured step to the supplied facts. This is a worked teaching case, not an independent assessment.</w:t>
      </w:r>
    </w:p>
    <w:p>
      <w:pPr>
        <w:pStyle w:val="Heading3"/>
      </w:pPr>
      <w:r>
        <w:t>Why this result follows</w:t>
      </w:r>
    </w:p>
    <w:p>
      <w:r>
        <w:t>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groups are fictional; small samples and unmatched question difficulty limit conclusions about fairness.</w:t>
      </w:r>
    </w:p>
    <w:p>
      <w:r>
        <w:t>Read the labelled picture: Explain why comparing six correct answers in each group would mislead. Point to the relevant step in the picture, then write the changed result and the rule or evidence that supports it.</w:t>
      </w:r>
    </w:p>
    <w:p>
      <w:r>
        <w:t>Change one thing: Pine instead has 6 supported answers out of 12.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Bias and Representation"/>
            <wp:cNvGraphicFramePr>
              <a:graphicFrameLocks noChangeAspect="1"/>
            </wp:cNvGraphicFramePr>
            <a:graphic>
              <a:graphicData uri="http://schemas.openxmlformats.org/drawingml/2006/picture">
                <pic:pic>
                  <pic:nvPicPr>
                    <pic:cNvPr id="0" name="fb088f060dc822ebc6b722b66c43da90899fcbe671d32af5b000a0abf56c52b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Bias and Represent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Group comparisons require task relevance and appropriate data governance; differences alone do not identify a causal mechanism.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“Representation and bias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Representation and bias evaluation.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comparing six correct answers in each group would mislead.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ias and Representation"/>
            <wp:cNvGraphicFramePr>
              <a:graphicFrameLocks noChangeAspect="1"/>
            </wp:cNvGraphicFramePr>
            <a:graphic>
              <a:graphicData uri="http://schemas.openxmlformats.org/drawingml/2006/picture">
                <pic:pic>
                  <pic:nvPicPr>
                    <pic:cNvPr id="0" name="48e865617f0b3bd154cd2fe60acf01e4bf0aaebae314a7f7900730d7623e4be6.png"/>
                    <pic:cNvPicPr/>
                  </pic:nvPicPr>
                  <pic:blipFill>
                    <a:blip r:embed="rId25"/>
                    <a:stretch>
                      <a:fillRect/>
                    </a:stretch>
                  </pic:blipFill>
                  <pic:spPr>
                    <a:xfrm>
                      <a:off x="0" y="0"/>
                      <a:ext cx="5486400" cy="1901952"/>
                    </a:xfrm>
                    <a:prstGeom prst="rect"/>
                  </pic:spPr>
                </pic:pic>
              </a:graphicData>
            </a:graphic>
          </wp:inline>
        </w:drawing>
      </w:r>
    </w:p>
    <w:p>
      <w:r>
        <w:t>Create paired prompts, score quality and stereotypes, compare patterns, and propose one controlled mitigation with retest.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Bias and Represent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ias and Representation"/>
            <wp:cNvGraphicFramePr>
              <a:graphicFrameLocks noChangeAspect="1"/>
            </wp:cNvGraphicFramePr>
            <a:graphic>
              <a:graphicData uri="http://schemas.openxmlformats.org/drawingml/2006/picture">
                <pic:pic>
                  <pic:nvPicPr>
                    <pic:cNvPr id="0" name="c37922ff2c1184b3200a37b49cfa10a083c79debef27f0aa77869cb1826c7d0f.png"/>
                    <pic:cNvPicPr/>
                  </pic:nvPicPr>
                  <pic:blipFill>
                    <a:blip r:embed="rId27"/>
                    <a:stretch>
                      <a:fillRect/>
                    </a:stretch>
                  </pic:blipFill>
                  <pic:spPr>
                    <a:xfrm>
                      <a:off x="0" y="0"/>
                      <a:ext cx="5486400" cy="1901952"/>
                    </a:xfrm>
                    <a:prstGeom prst="rect"/>
                  </pic:spPr>
                </pic:pic>
              </a:graphicData>
            </a:graphic>
          </wp:inline>
        </w:drawing>
      </w:r>
    </w:p>
    <w:p>
      <w:r>
        <w:t>THIS WEEK’S CHECKPOINT  Audit answer quality across reading levels, languages, names, and accessibility needs.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ias and Representation"/>
            <wp:cNvGraphicFramePr>
              <a:graphicFrameLocks noChangeAspect="1"/>
            </wp:cNvGraphicFramePr>
            <a:graphic>
              <a:graphicData uri="http://schemas.openxmlformats.org/drawingml/2006/picture">
                <pic:pic>
                  <pic:nvPicPr>
                    <pic:cNvPr id="0" name="6133144e252638b1affe62b8772ebb2a01993ace5b7e684851e9ec995bde5c7c.png"/>
                    <pic:cNvPicPr/>
                  </pic:nvPicPr>
                  <pic:blipFill>
                    <a:blip r:embed="rId28"/>
                    <a:stretch>
                      <a:fillRect/>
                    </a:stretch>
                  </pic:blipFill>
                  <pic:spPr>
                    <a:xfrm>
                      <a:off x="0" y="0"/>
                      <a:ext cx="5486400" cy="1901952"/>
                    </a:xfrm>
                    <a:prstGeom prst="rect"/>
                  </pic:spPr>
                </pic:pic>
              </a:graphicData>
            </a:graphic>
          </wp:inline>
        </w:drawing>
      </w:r>
    </w:p>
    <w:p>
      <w:r>
        <w:t>CHALLENGE  Audit a character generator across varied prompts.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Scientist images repeatedly show only one demographic group.</w:t>
      </w:r>
    </w:p>
    <w:p>
      <w:pPr>
        <w:pStyle w:val="Heading3"/>
      </w:pPr>
      <w:r>
        <w:t>The question</w:t>
      </w:r>
    </w:p>
    <w:p>
      <w:r>
        <w:t>Evaluate and improve representation.</w:t>
      </w:r>
    </w:p>
    <w:p>
      <w:pPr>
        <w:pStyle w:val="Heading3"/>
      </w:pPr>
      <w:r>
        <w:t>Worked explanation</w:t>
      </w:r>
    </w:p>
    <w:p>
      <w:r>
        <w:t>Review relevant representation criteria across outputs, revise inclusive requirements and retest. Appearance alone cannot establish absence of all bias.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Review representation across outputs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Observed pattern</w:t>
            </w:r>
          </w:p>
        </w:tc>
        <w:tc>
          <w:tcPr>
            <w:tcW w:type="dxa" w:w="5112"/>
          </w:tcPr>
          <w:p>
            <w:r>
              <w:t>Only one demographic group shown</w:t>
            </w:r>
          </w:p>
        </w:tc>
      </w:tr>
      <w:tr>
        <w:tc>
          <w:tcPr>
            <w:tcW w:type="dxa" w:w="5112"/>
          </w:tcPr>
          <w:p>
            <w:r>
              <w:t>Review</w:t>
            </w:r>
          </w:p>
        </w:tc>
        <w:tc>
          <w:tcPr>
            <w:tcW w:type="dxa" w:w="5112"/>
          </w:tcPr>
          <w:p>
            <w:r>
              <w:t>Define relevant representation criteria</w:t>
            </w:r>
          </w:p>
        </w:tc>
      </w:tr>
      <w:tr>
        <w:tc>
          <w:tcPr>
            <w:tcW w:type="dxa" w:w="5112"/>
          </w:tcPr>
          <w:p>
            <w:r>
              <w:t>Revision</w:t>
            </w:r>
          </w:p>
        </w:tc>
        <w:tc>
          <w:tcPr>
            <w:tcW w:type="dxa" w:w="5112"/>
          </w:tcPr>
          <w:p>
            <w:r>
              <w:t>State inclusive requirements</w:t>
            </w:r>
          </w:p>
        </w:tc>
      </w:tr>
      <w:tr>
        <w:tc>
          <w:tcPr>
            <w:tcW w:type="dxa" w:w="5112"/>
          </w:tcPr>
          <w:p>
            <w:r>
              <w:t>Retest</w:t>
            </w:r>
          </w:p>
        </w:tc>
        <w:tc>
          <w:tcPr>
            <w:tcW w:type="dxa" w:w="5112"/>
          </w:tcPr>
          <w:p>
            <w:r>
              <w:t>Inspect multiple new outputs</w:t>
            </w:r>
          </w:p>
        </w:tc>
      </w:tr>
    </w:tbl>
    <w:p>
      <w:r>
        <w:t>Scientist images repeatedly show only one demographic group.</w:t>
      </w:r>
    </w:p>
    <w:p>
      <w:r>
        <w:t>Evaluate and improve representation.</w:t>
      </w:r>
    </w:p>
    <w:p>
      <w:r>
        <w:t>Review relevant representation criteria across outputs, revise inclusive requirements and retest. Appearance alone cannot establish absence of all bias.</w:t>
      </w:r>
    </w:p>
    <w:p>
      <w:pPr>
        <w:pStyle w:val="Heading1"/>
      </w:pPr>
      <w:r>
        <w:t>14. Try a new case independently</w:t>
      </w:r>
    </w:p>
    <w:p>
      <w:pPr>
        <w:pStyle w:val="Heading3"/>
      </w:pPr>
      <w:r>
        <w:t>Independent case: Apply a new case independently</w:t>
      </w:r>
    </w:p>
    <w:p>
      <w:r>
        <w:t>Group C has 8 supported answers out of 10; D has 9 out of 15. Compute rates and difference; explain why raw correct totals mislead.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An assistant is tested on six fluent requests but no requests with spelling errors. What gap does this leave, and how should the evaluation expand?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answer quality across reading levels, languages, names, and accessibility needs.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illustration set always shows scientists in the same role and appearance. Define a review that examines representation without inferring personal identities from images.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study-answer support rates when groups have different numbers of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representation and bias evaluation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representation and bias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