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ai-3/31</w:t>
      </w:r>
    </w:p>
    <w:p>
      <w:pPr>
        <w:pStyle w:val="Title"/>
      </w:pPr>
      <w:r>
        <w:t>Safety Boundaries</w:t>
      </w:r>
    </w:p>
    <w:p>
      <w:r>
        <w:t>Project: Verified Study Buddy</w:t>
      </w:r>
    </w:p>
    <w:p>
      <w:pPr>
        <w:pStyle w:val="Heading1"/>
      </w:pPr>
      <w:r>
        <w:t>Before you start</w:t>
      </w:r>
    </w:p>
    <w:p>
      <w:r>
        <w:t>AI-2 Week 31: permission is tied to a defined task.</w:t>
      </w:r>
    </w:p>
    <w:p>
      <w:pPr>
        <w:pStyle w:val="Heading1"/>
      </w:pPr>
      <w:r>
        <w:t>01. Your mission</w:t>
      </w:r>
    </w:p>
    <w:p>
      <w:pPr>
        <w:pStyle w:val="Heading3"/>
      </w:pPr>
      <w:r>
        <w:t>Your learning target</w:t>
      </w:r>
    </w:p>
    <w:p>
      <w:r>
        <w:t>I can explain the mechanism and terminology of untrusted input boundaries.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Bias and Representation. Give an example and a mistake that the idea helps you avoid.</w:t>
      </w:r>
    </w:p>
    <w:p>
      <w:r>
        <w:t>Without opening the old lesson, explain one key idea from Privacy by Design. Give an example and a mistake that the idea helps you avoid.</w:t>
      </w:r>
    </w:p>
    <w:p>
      <w:r>
        <w:t>Without opening the old lesson, explain one key idea from Quality Rubrics. Give an example and a mistake that the idea helps you avoid.</w:t>
      </w:r>
    </w:p>
    <w:p>
      <w:r>
        <w:t>After trying, check the relevant lesson or ask your teacher. Change the part of your explanation that the evidence shows was wrong.</w:t>
      </w:r>
    </w:p>
    <w:p>
      <w:r>
        <w:t>Week 31: Safety Boundaries</w:t>
      </w:r>
    </w:p>
    <w:p>
      <w:r>
        <w:t>Systems need refusal, warning, escalation, and human-review policies.</w:t>
      </w:r>
    </w:p>
    <w:p>
      <w:r>
        <w:drawing>
          <wp:inline xmlns:a="http://schemas.openxmlformats.org/drawingml/2006/main" xmlns:pic="http://schemas.openxmlformats.org/drawingml/2006/picture">
            <wp:extent cx="2942705" cy="2942705"/>
            <wp:docPr id="1" name="Picture 1" descr="Week 31 illustration: Safety Boundaries"/>
            <wp:cNvGraphicFramePr>
              <a:graphicFrameLocks noChangeAspect="1"/>
            </wp:cNvGraphicFramePr>
            <a:graphic>
              <a:graphicData uri="http://schemas.openxmlformats.org/drawingml/2006/picture">
                <pic:pic>
                  <pic:nvPicPr>
                    <pic:cNvPr id="0" name="f66fa9131cbdb6402a2414e7837bbf645438ffe9299a7975f3fc961fc7b2b649.png"/>
                    <pic:cNvPicPr/>
                  </pic:nvPicPr>
                  <pic:blipFill>
                    <a:blip r:embed="rId9"/>
                    <a:stretch>
                      <a:fillRect/>
                    </a:stretch>
                  </pic:blipFill>
                  <pic:spPr>
                    <a:xfrm>
                      <a:off x="0" y="0"/>
                      <a:ext cx="2942705" cy="2942705"/>
                    </a:xfrm>
                    <a:prstGeom prst="rect"/>
                  </pic:spPr>
                </pic:pic>
              </a:graphicData>
            </a:graphic>
          </wp:inline>
        </w:drawing>
      </w:r>
    </w:p>
    <w:p>
      <w:r>
        <w:t>CREATOR MISSION</w:t>
      </w:r>
    </w:p>
    <w:p>
      <w:r>
        <w:t>Write safe behavior for three classroom risk levels.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External side effects and recovery. Explain why a recorded result needs its input conditions and evidence source before it can support a claim.</w:t>
      </w:r>
    </w:p>
    <w:p>
      <w:pPr>
        <w:pStyle w:val="Heading3"/>
      </w:pPr>
      <w:r>
        <w:t>Readiness for Abstention and clarification</w:t>
      </w:r>
    </w:p>
    <w:p>
      <w:r>
        <w:t>Recall Claim support and citation evaluation. Explain why a recorded result needs its input conditions and evidence source before it can support a claim.</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safety boundaries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Safety Boundaries"/>
            <wp:cNvGraphicFramePr>
              <a:graphicFrameLocks noChangeAspect="1"/>
            </wp:cNvGraphicFramePr>
            <a:graphic>
              <a:graphicData uri="http://schemas.openxmlformats.org/drawingml/2006/picture">
                <pic:pic>
                  <pic:nvPicPr>
                    <pic:cNvPr id="0" name="f66fa9131cbdb6402a2414e7837bbf645438ffe9299a7975f3fc961fc7b2b649.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safety boundaries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Untrusted input must be treated according to a contract before reaching code, queries or tools. Data that resembles instructions does not acquire execution authority.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Apply the connected idea: Abstention and clarification</w:t>
      </w:r>
    </w:p>
    <w:p>
      <w:r>
        <w:t>Abstention and clarification are valid responses when necessary evidence is missing. Ask for the smallest fact that can resolve the decision.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Safety Boundaries"/>
            <wp:cNvGraphicFramePr>
              <a:graphicFrameLocks noChangeAspect="1"/>
            </wp:cNvGraphicFramePr>
            <a:graphic>
              <a:graphicData uri="http://schemas.openxmlformats.org/drawingml/2006/picture">
                <pic:pic>
                  <pic:nvPicPr>
                    <pic:cNvPr id="0" name="be7604d248c0b8127e5550a73eaff40fd000a4fe4b4e285c6e4900beadf37309.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Safety Boundaries"/>
            <wp:cNvGraphicFramePr>
              <a:graphicFrameLocks noChangeAspect="1"/>
            </wp:cNvGraphicFramePr>
            <a:graphic>
              <a:graphicData uri="http://schemas.openxmlformats.org/drawingml/2006/picture">
                <pic:pic>
                  <pic:nvPicPr>
                    <pic:cNvPr id="0" name="8da91591a17eb9a7f5939e2695111fff9040f3918f5d53d8f4a2026cbff0fcf9.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Safety Boundaries"/>
            <wp:cNvGraphicFramePr>
              <a:graphicFrameLocks noChangeAspect="1"/>
            </wp:cNvGraphicFramePr>
            <a:graphic>
              <a:graphicData uri="http://schemas.openxmlformats.org/drawingml/2006/picture">
                <pic:pic>
                  <pic:nvPicPr>
                    <pic:cNvPr id="0" name="698e241a09b5b60943965915c6999042ca2aaa7302d843d6ed3f14e39945273e.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the toy lookup accept room IDs matching one uppercase letter plus one digit. Perform exact dictionary lookup; never evaluate user strings as code. Reject invalid length or characters.</w:t>
      </w:r>
    </w:p>
    <w:p>
      <w:pPr>
        <w:pStyle w:val="Heading3"/>
      </w:pPr>
      <w:r>
        <w:t>Untrusted input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Inputs A1 and delete_all() are supplied to room lookup.</w:t>
            </w:r>
          </w:p>
        </w:tc>
        <w:tc>
          <w:tcPr>
            <w:tcW w:type="dxa" w:w="3408"/>
          </w:tcPr>
          <w:p>
            <w:r>
              <w:t>For the toy lookup accept room IDs matching one uppercase letter plus one digit. Perform exact dictionary lookup; never evaluate user strings as code. Reject invalid length or characters.</w:t>
            </w:r>
          </w:p>
        </w:tc>
        <w:tc>
          <w:tcPr>
            <w:tcW w:type="dxa" w:w="3408"/>
          </w:tcPr>
          <w:p>
            <w:r>
              <w:t>A1 passes the format; delete_all() fails. Neither is executed as code, including any instruction-shaped string.</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Apply the connected idea: Abstention and clarification</w:t>
      </w:r>
    </w:p>
    <w:p>
      <w:r>
        <w:t>Separate answerable claims from unresolved ones. Clarify ambiguous input when a user can supply the needed fact; abstain from unsupported conclusions when evidence is unavailable. Define acceptable fallback before evaluation.</w:t>
      </w:r>
    </w:p>
    <w:p>
      <w:pPr>
        <w:pStyle w:val="Heading3"/>
      </w:pPr>
      <w:r>
        <w:t>Abstention and clarification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Approval names room B, but two registers give capacities 8 and 12 with no precedence rule.</w:t>
            </w:r>
          </w:p>
        </w:tc>
        <w:tc>
          <w:tcPr>
            <w:tcW w:type="dxa" w:w="3408"/>
          </w:tcPr>
          <w:p>
            <w:r>
              <w:t>Separate answerable claims from unresolved ones. Clarify ambiguous input when a user can supply the needed fact; abstain from unsupported conclusions when evidence is unavailable. Define acceptable fallback before evaluation.</w:t>
            </w:r>
          </w:p>
        </w:tc>
        <w:tc>
          <w:tcPr>
            <w:tcW w:type="dxa" w:w="3408"/>
          </w:tcPr>
          <w:p>
            <w:r>
              <w:t>Do not pick the larger or smaller value as established fact. Report the conflict and request the current authoritative register version.</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AB7 to Ab7.</w:t>
      </w:r>
    </w:p>
    <w:p>
      <w:r>
        <w:t>Prediction: Reject it under the exact uppercase rule.</w:t>
      </w:r>
    </w:p>
    <w:p>
      <w:r>
        <w:t>Reason: Lowercase b fails the declared pattern even though the identifier looks similar.</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boundary"/>
            <wp:cNvGraphicFramePr>
              <a:graphicFrameLocks noChangeAspect="1"/>
            </wp:cNvGraphicFramePr>
            <a:graphic>
              <a:graphicData uri="http://schemas.openxmlformats.org/drawingml/2006/picture">
                <pic:pic>
                  <pic:nvPicPr>
                    <pic:cNvPr id="0" name="1b697120776e9e7930a43017af6a05b86ed2ca9289bbff3c679cc0d66ccc3ab5.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fusal"/>
            <wp:cNvGraphicFramePr>
              <a:graphicFrameLocks noChangeAspect="1"/>
            </wp:cNvGraphicFramePr>
            <a:graphic>
              <a:graphicData uri="http://schemas.openxmlformats.org/drawingml/2006/picture">
                <pic:pic>
                  <pic:nvPicPr>
                    <pic:cNvPr id="0" name="90bc8c7dee837dd57e776e7bb0312df6c98705f42cc8eb149f80b6ba70527e74.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escalation"/>
            <wp:cNvGraphicFramePr>
              <a:graphicFrameLocks noChangeAspect="1"/>
            </wp:cNvGraphicFramePr>
            <a:graphic>
              <a:graphicData uri="http://schemas.openxmlformats.org/drawingml/2006/picture">
                <pic:pic>
                  <pic:nvPicPr>
                    <pic:cNvPr id="0" name="23cb69afc8a308f3bae6d7415b9d35f1ea06434794c3c1929e08c416b02aa037.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afe completion"/>
            <wp:cNvGraphicFramePr>
              <a:graphicFrameLocks noChangeAspect="1"/>
            </wp:cNvGraphicFramePr>
            <a:graphic>
              <a:graphicData uri="http://schemas.openxmlformats.org/drawingml/2006/picture">
                <pic:pic>
                  <pic:nvPicPr>
                    <pic:cNvPr id="0" name="6f72ec5139554760938ec19c4e278c977f6cb55dd76a7bacbe7e8891a99bbae7.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boundary</w:t>
            </w:r>
          </w:p>
        </w:tc>
        <w:tc>
          <w:tcPr>
            <w:tcW w:type="dxa" w:w="3408"/>
          </w:tcPr>
          <w:p>
            <w:r>
              <w:t>A dividing condition between categories, actions or allowed behaviours.</w:t>
            </w:r>
          </w:p>
        </w:tc>
        <w:tc>
          <w:tcPr>
            <w:tcW w:type="dxa" w:w="3408"/>
          </w:tcPr>
          <w:p>
            <w:r/>
          </w:p>
        </w:tc>
      </w:tr>
      <w:tr>
        <w:tc>
          <w:tcPr>
            <w:tcW w:type="dxa" w:w="3408"/>
          </w:tcPr>
          <w:p>
            <w:r>
              <w:t>refusal</w:t>
            </w:r>
          </w:p>
        </w:tc>
        <w:tc>
          <w:tcPr>
            <w:tcW w:type="dxa" w:w="3408"/>
          </w:tcPr>
          <w:p>
            <w:r>
              <w:t>A decision not to perform a request because it is outside the system's permitted scope.</w:t>
            </w:r>
          </w:p>
        </w:tc>
        <w:tc>
          <w:tcPr>
            <w:tcW w:type="dxa" w:w="3408"/>
          </w:tcPr>
          <w:p>
            <w:r/>
          </w:p>
        </w:tc>
      </w:tr>
      <w:tr>
        <w:tc>
          <w:tcPr>
            <w:tcW w:type="dxa" w:w="3408"/>
          </w:tcPr>
          <w:p>
            <w:r>
              <w:t>escalation</w:t>
            </w:r>
          </w:p>
        </w:tc>
        <w:tc>
          <w:tcPr>
            <w:tcW w:type="dxa" w:w="3408"/>
          </w:tcPr>
          <w:p>
            <w:r>
              <w:t>Passing a problem or decision to a person or process with appropriate authority or expertise.</w:t>
            </w:r>
          </w:p>
        </w:tc>
        <w:tc>
          <w:tcPr>
            <w:tcW w:type="dxa" w:w="3408"/>
          </w:tcPr>
          <w:p>
            <w:r/>
          </w:p>
        </w:tc>
      </w:tr>
      <w:tr>
        <w:tc>
          <w:tcPr>
            <w:tcW w:type="dxa" w:w="3408"/>
          </w:tcPr>
          <w:p>
            <w:r>
              <w:t>safe completion</w:t>
            </w:r>
          </w:p>
        </w:tc>
        <w:tc>
          <w:tcPr>
            <w:tcW w:type="dxa" w:w="3408"/>
          </w:tcPr>
          <w:p>
            <w:r>
              <w:t>A response that helps with the permitted part of a task while respecting its boundaries.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Untrusted input</w:t>
            </w:r>
          </w:p>
        </w:tc>
        <w:tc>
          <w:tcPr>
            <w:tcW w:type="dxa" w:w="5112"/>
          </w:tcPr>
          <w:p>
            <w:r>
              <w:t>Data whose claims or control intent have not been authorised</w:t>
            </w:r>
          </w:p>
        </w:tc>
      </w:tr>
      <w:tr>
        <w:tc>
          <w:tcPr>
            <w:tcW w:type="dxa" w:w="5112"/>
          </w:tcPr>
          <w:p>
            <w:r>
              <w:t>Full match</w:t>
            </w:r>
          </w:p>
        </w:tc>
        <w:tc>
          <w:tcPr>
            <w:tcW w:type="dxa" w:w="5112"/>
          </w:tcPr>
          <w:p>
            <w:r>
              <w:t>Validation covering the whole input</w:t>
            </w:r>
          </w:p>
        </w:tc>
      </w:tr>
      <w:tr>
        <w:tc>
          <w:tcPr>
            <w:tcW w:type="dxa" w:w="5112"/>
          </w:tcPr>
          <w:p>
            <w:r>
              <w:t>Injection boundary</w:t>
            </w:r>
          </w:p>
        </w:tc>
        <w:tc>
          <w:tcPr>
            <w:tcW w:type="dxa" w:w="5112"/>
          </w:tcPr>
          <w:p>
            <w:r>
              <w:t>A separation preventing data from becoming executable control</w:t>
            </w:r>
          </w:p>
        </w:tc>
      </w:tr>
    </w:tbl>
    <w:p>
      <w:pPr>
        <w:pStyle w:val="Heading3"/>
      </w:pPr>
      <w:r>
        <w:t>Terms for Abstention and clarification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Abstention</w:t>
            </w:r>
          </w:p>
        </w:tc>
        <w:tc>
          <w:tcPr>
            <w:tcW w:type="dxa" w:w="5112"/>
          </w:tcPr>
          <w:p>
            <w:r>
              <w:t>Declining to state an unsupported conclusion</w:t>
            </w:r>
          </w:p>
        </w:tc>
      </w:tr>
      <w:tr>
        <w:tc>
          <w:tcPr>
            <w:tcW w:type="dxa" w:w="5112"/>
          </w:tcPr>
          <w:p>
            <w:r>
              <w:t>Clarification</w:t>
            </w:r>
          </w:p>
        </w:tc>
        <w:tc>
          <w:tcPr>
            <w:tcW w:type="dxa" w:w="5112"/>
          </w:tcPr>
          <w:p>
            <w:r>
              <w:t>A targeted request for missing or ambiguous information</w:t>
            </w:r>
          </w:p>
        </w:tc>
      </w:tr>
      <w:tr>
        <w:tc>
          <w:tcPr>
            <w:tcW w:type="dxa" w:w="5112"/>
          </w:tcPr>
          <w:p>
            <w:r>
              <w:t>Answerability</w:t>
            </w:r>
          </w:p>
        </w:tc>
        <w:tc>
          <w:tcPr>
            <w:tcW w:type="dxa" w:w="5112"/>
          </w:tcPr>
          <w:p>
            <w:r>
              <w:t>Whether supplied evidence can support the requested conclusion</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Safety Boundaries"/>
            <wp:cNvGraphicFramePr>
              <a:graphicFrameLocks noChangeAspect="1"/>
            </wp:cNvGraphicFramePr>
            <a:graphic>
              <a:graphicData uri="http://schemas.openxmlformats.org/drawingml/2006/picture">
                <pic:pic>
                  <pic:nvPicPr>
                    <pic:cNvPr id="0" name="022f10308f2601446e223284e7d3c4eeee146f24bf312a5209e9b3170d761c07.png"/>
                    <pic:cNvPicPr/>
                  </pic:nvPicPr>
                  <pic:blipFill>
                    <a:blip r:embed="rId21"/>
                    <a:stretch>
                      <a:fillRect/>
                    </a:stretch>
                  </pic:blipFill>
                  <pic:spPr>
                    <a:xfrm>
                      <a:off x="0" y="0"/>
                      <a:ext cx="5486400" cy="2377440"/>
                    </a:xfrm>
                    <a:prstGeom prst="rect"/>
                  </pic:spPr>
                </pic:pic>
              </a:graphicData>
            </a:graphic>
          </wp:inline>
        </w:drawing>
      </w:r>
    </w:p>
    <w:p>
      <w:r>
        <w:t>1. Low risk: answer a source-grounded study question.</w:t>
      </w:r>
    </w:p>
    <w:p>
      <w:r>
        <w:t>2. Uncertain risk: warn, ask for context, or request adult help.</w:t>
      </w:r>
    </w:p>
    <w:p>
      <w:r>
        <w:t>3. Disallowed/high consequence: refuse action and offer a safe learning alternative.</w:t>
      </w:r>
    </w:p>
    <w:p>
      <w:r>
        <w:t>4. Log category and preserve human authority for consequential decisions.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Inputs A1 and delete_all() are supplied to room lookup.</w:t>
      </w:r>
    </w:p>
    <w:p>
      <w:r>
        <w:t>A1 passes the format; delete_all() fails. Neither is executed as code, including any instruction-shaped string.</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import re</w:t>
        <w:br/>
        <w:br/>
        <w:t>def validate_identifier(value):</w:t>
        <w:br/>
        <w:t xml:space="preserve">    return type(value) is str and re.fullmatch('[A-Z][0-9]', value) is not None</w:t>
        <w:br/>
        <w:br/>
        <w:t>print(validate_identifier("B2"))</w:t>
      </w:r>
    </w:p>
    <w:p>
      <w:pPr>
        <w:pStyle w:val="Heading3"/>
      </w:pPr>
      <w:r>
        <w:t>Apply the connected idea: Abstention and clarification</w:t>
      </w:r>
    </w:p>
    <w:p>
      <w:r>
        <w:t>Approval names room B, but two registers give capacities 8 and 12 with no precedence rule. The question asks maximum attendance.</w:t>
      </w:r>
    </w:p>
    <w:p>
      <w:r>
        <w:t>Do not pick the larger or smaller value as established fact. Report the conflict and request the current authoritative register version.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Safety Boundaries</w:t>
      </w:r>
    </w:p>
    <w:p>
      <w:r>
        <w:t>Make a strict lookup identifier boundary visible.</w:t>
      </w:r>
    </w:p>
    <w:p>
      <w:pPr>
        <w:pStyle w:val="Heading3"/>
      </w:pPr>
      <w:r>
        <w:t>The facts we will use</w:t>
      </w:r>
    </w:p>
    <w:p>
      <w:r>
        <w:t>Toy lookup accepts exactly two uppercase ASCII letters followed by one digit. Accepted example: AB7. No trimming or extra characters are allowed.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Safety Boundaries. Check pattern: AB7 has two permitted letters and one digit, with no extra characters.. Reject extra text: AB7; send() violates the exact identifier pattern.. Separate authority: Pattern acceptance only allows the next lookup check; it grants no access to restricted records."/>
            <wp:cNvGraphicFramePr>
              <a:graphicFrameLocks noChangeAspect="1"/>
            </wp:cNvGraphicFramePr>
            <a:graphic>
              <a:graphicData uri="http://schemas.openxmlformats.org/drawingml/2006/picture">
                <pic:pic>
                  <pic:nvPicPr>
                    <pic:cNvPr id="0" name="academy-visual-ai-3-31.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pattern</w:t>
            </w:r>
          </w:p>
        </w:tc>
        <w:tc>
          <w:tcPr>
            <w:tcW w:type="dxa" w:w="5112"/>
          </w:tcPr>
          <w:p>
            <w:r>
              <w:t>AB7 has two permitted letters and one digit, with no extra characters.</w:t>
            </w:r>
          </w:p>
        </w:tc>
      </w:tr>
      <w:tr>
        <w:tc>
          <w:tcPr>
            <w:tcW w:type="dxa" w:w="5112"/>
          </w:tcPr>
          <w:p>
            <w:r>
              <w:t>2. Reject extra text</w:t>
            </w:r>
          </w:p>
        </w:tc>
        <w:tc>
          <w:tcPr>
            <w:tcW w:type="dxa" w:w="5112"/>
          </w:tcPr>
          <w:p>
            <w:r>
              <w:t>AB7; send() violates the exact identifier pattern.</w:t>
            </w:r>
          </w:p>
        </w:tc>
      </w:tr>
      <w:tr>
        <w:tc>
          <w:tcPr>
            <w:tcW w:type="dxa" w:w="5112"/>
          </w:tcPr>
          <w:p>
            <w:r>
              <w:t>3. Separate authority</w:t>
            </w:r>
          </w:p>
        </w:tc>
        <w:tc>
          <w:tcPr>
            <w:tcW w:type="dxa" w:w="5112"/>
          </w:tcPr>
          <w:p>
            <w:r>
              <w:t>Pattern acceptance only allows the next lookup check; it grants no access to restricted records.</w:t>
            </w:r>
          </w:p>
        </w:tc>
      </w:tr>
    </w:tbl>
    <w:p>
      <w:r>
        <w:t>Match each pictured step to the supplied facts. This is a worked teaching case, not an independent assessment.</w:t>
      </w:r>
    </w:p>
    <w:p>
      <w:pPr>
        <w:pStyle w:val="Heading3"/>
      </w:pPr>
      <w:r>
        <w:t>Why this result follows</w:t>
      </w:r>
    </w:p>
    <w:p>
      <w:r>
        <w:t>Read the picture in order. Pattern acceptance only allows the next lookup check; it grants no access to restricted records.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Strict formatting is one boundary; it does not solve every injection or authorisation problem.</w:t>
      </w:r>
    </w:p>
    <w:p>
      <w:r>
        <w:t>Read the labelled picture: If AB7 passes the pattern, may it access teacher-only material? Point to the relevant step in the picture, then write the changed result and the rule or evidence that supports it.</w:t>
      </w:r>
    </w:p>
    <w:p>
      <w:r>
        <w:t>Change one thing: Change AB7 to Ab7.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Safety Boundaries"/>
            <wp:cNvGraphicFramePr>
              <a:graphicFrameLocks noChangeAspect="1"/>
            </wp:cNvGraphicFramePr>
            <a:graphic>
              <a:graphicData uri="http://schemas.openxmlformats.org/drawingml/2006/picture">
                <pic:pic>
                  <pic:nvPicPr>
                    <pic:cNvPr id="0" name="2ef34c06e0c6071639eea7b803bb30735b7216d7061ab9d3c98cbe7391edb420.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Abstention and clarification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Safety Boundarie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format check does not grant resource access; authorisation follows separately.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Abstention and clarification</w:t>
      </w:r>
    </w:p>
    <w:p>
      <w:r>
        <w:t>An abstention avoids an unsupported answer but does not automatically make a system useful; evaluate appropriate answers and appropriate fallbacks separately.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“Untrusted input boundaries”.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Untrusted input boundaries.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Abstention and clarification</w:t>
      </w:r>
    </w:p>
    <w:p>
      <w:r>
        <w:t>Use its named workbook W2. Identify the given inputs, try the middle steps with less help, then explain your trace. Check this claim before group discussion: The worked result establishes every future case</w:t>
      </w:r>
    </w:p>
    <w:p>
      <w:pPr>
        <w:pStyle w:val="Heading3"/>
      </w:pPr>
      <w:r>
        <w:t>Explain the picture</w:t>
      </w:r>
    </w:p>
    <w:p>
      <w:r>
        <w:t>If AB7 passes the pattern, may it access teacher-only material?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Safety Boundaries"/>
            <wp:cNvGraphicFramePr>
              <a:graphicFrameLocks noChangeAspect="1"/>
            </wp:cNvGraphicFramePr>
            <a:graphic>
              <a:graphicData uri="http://schemas.openxmlformats.org/drawingml/2006/picture">
                <pic:pic>
                  <pic:nvPicPr>
                    <pic:cNvPr id="0" name="a561fab7f62bb8b2e630927b1d401c26fe92388699d9d5b2648b21b0936beb55.png"/>
                    <pic:cNvPicPr/>
                  </pic:nvPicPr>
                  <pic:blipFill>
                    <a:blip r:embed="rId25"/>
                    <a:stretch>
                      <a:fillRect/>
                    </a:stretch>
                  </pic:blipFill>
                  <pic:spPr>
                    <a:xfrm>
                      <a:off x="0" y="0"/>
                      <a:ext cx="5486400" cy="1901952"/>
                    </a:xfrm>
                    <a:prstGeom prst="rect"/>
                  </pic:spPr>
                </pic:pic>
              </a:graphicData>
            </a:graphic>
          </wp:inline>
        </w:drawing>
      </w:r>
    </w:p>
    <w:p>
      <w:r>
        <w:t>Classify classroom scenarios, write allow/warn/refuse/escalate behavior, and test both over-refusal and unsafe compliance.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Safety Boundarie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Safety Boundaries"/>
            <wp:cNvGraphicFramePr>
              <a:graphicFrameLocks noChangeAspect="1"/>
            </wp:cNvGraphicFramePr>
            <a:graphic>
              <a:graphicData uri="http://schemas.openxmlformats.org/drawingml/2006/picture">
                <pic:pic>
                  <pic:nvPicPr>
                    <pic:cNvPr id="0" name="e77d1207b302aea5959b66b0d9ac7c373defb80e0d3f5876b297b0f34ed3fc86.png"/>
                    <pic:cNvPicPr/>
                  </pic:nvPicPr>
                  <pic:blipFill>
                    <a:blip r:embed="rId27"/>
                    <a:stretch>
                      <a:fillRect/>
                    </a:stretch>
                  </pic:blipFill>
                  <pic:spPr>
                    <a:xfrm>
                      <a:off x="0" y="0"/>
                      <a:ext cx="5486400" cy="1901952"/>
                    </a:xfrm>
                    <a:prstGeom prst="rect"/>
                  </pic:spPr>
                </pic:pic>
              </a:graphicData>
            </a:graphic>
          </wp:inline>
        </w:drawing>
      </w:r>
    </w:p>
    <w:p>
      <w:r>
        <w:t>THIS WEEK’S CHECKPOINT  Implement risk levels, refusal language, safe alternatives, and teacher-review gates.</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Safety Boundaries"/>
            <wp:cNvGraphicFramePr>
              <a:graphicFrameLocks noChangeAspect="1"/>
            </wp:cNvGraphicFramePr>
            <a:graphic>
              <a:graphicData uri="http://schemas.openxmlformats.org/drawingml/2006/picture">
                <pic:pic>
                  <pic:nvPicPr>
                    <pic:cNvPr id="0" name="5b55ece06b5306f50400693e838450f3b5ab6aaad9deddaefc4da1d6e81ed5ba.png"/>
                    <pic:cNvPicPr/>
                  </pic:nvPicPr>
                  <pic:blipFill>
                    <a:blip r:embed="rId28"/>
                    <a:stretch>
                      <a:fillRect/>
                    </a:stretch>
                  </pic:blipFill>
                  <pic:spPr>
                    <a:xfrm>
                      <a:off x="0" y="0"/>
                      <a:ext cx="5486400" cy="1901952"/>
                    </a:xfrm>
                    <a:prstGeom prst="rect"/>
                  </pic:spPr>
                </pic:pic>
              </a:graphicData>
            </a:graphic>
          </wp:inline>
        </w:drawing>
      </w:r>
    </w:p>
    <w:p>
      <w:r>
        <w:t>CHALLENGE  Write safe behavior for three classroom risk levels.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31 Worked case</w:t>
      </w:r>
    </w:p>
    <w:p>
      <w:r>
        <w:t>Use the supplied details to practise the weekly concept before attempting the independent question. This case extends the illustrated lesson.</w:t>
      </w:r>
    </w:p>
    <w:p>
      <w:pPr>
        <w:pStyle w:val="Heading3"/>
      </w:pPr>
      <w:r>
        <w:t>The situation</w:t>
      </w:r>
    </w:p>
    <w:p>
      <w:r>
        <w:t>A Study Buddy is asked to decide whether a learner should take medicine.</w:t>
      </w:r>
    </w:p>
    <w:p>
      <w:pPr>
        <w:pStyle w:val="Heading3"/>
      </w:pPr>
      <w:r>
        <w:t>The question</w:t>
      </w:r>
    </w:p>
    <w:p>
      <w:r>
        <w:t>Set a product boundary.</w:t>
      </w:r>
    </w:p>
    <w:p>
      <w:pPr>
        <w:pStyle w:val="Heading3"/>
      </w:pPr>
      <w:r>
        <w:t>Worked explanation</w:t>
      </w:r>
    </w:p>
    <w:p>
      <w:r>
        <w:t>A classroom study tool should not decide individual treatment. Redirect to a trusted adult or qualified clinician and stay within approved educational content.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Keep a study tool inside its role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Study explanation</w:t>
            </w:r>
          </w:p>
        </w:tc>
        <w:tc>
          <w:tcPr>
            <w:tcW w:type="dxa" w:w="5112"/>
          </w:tcPr>
          <w:p>
            <w:r>
              <w:t>Approved educational content</w:t>
            </w:r>
          </w:p>
        </w:tc>
      </w:tr>
      <w:tr>
        <w:tc>
          <w:tcPr>
            <w:tcW w:type="dxa" w:w="5112"/>
          </w:tcPr>
          <w:p>
            <w:r>
              <w:t>Individual treatment</w:t>
            </w:r>
          </w:p>
        </w:tc>
        <w:tc>
          <w:tcPr>
            <w:tcW w:type="dxa" w:w="5112"/>
          </w:tcPr>
          <w:p>
            <w:r>
              <w:t>Outside this product's role</w:t>
            </w:r>
          </w:p>
        </w:tc>
      </w:tr>
      <w:tr>
        <w:tc>
          <w:tcPr>
            <w:tcW w:type="dxa" w:w="5112"/>
          </w:tcPr>
          <w:p>
            <w:r>
              <w:t>Response</w:t>
            </w:r>
          </w:p>
        </w:tc>
        <w:tc>
          <w:tcPr>
            <w:tcW w:type="dxa" w:w="5112"/>
          </w:tcPr>
          <w:p>
            <w:r>
              <w:t>Direct to appropriate human help</w:t>
            </w:r>
          </w:p>
        </w:tc>
      </w:tr>
    </w:tbl>
    <w:p>
      <w:r>
        <w:t>A Study Buddy is asked to decide whether a learner should take medicine.</w:t>
      </w:r>
    </w:p>
    <w:p>
      <w:r>
        <w:t>Set a product boundary.</w:t>
      </w:r>
    </w:p>
    <w:p>
      <w:r>
        <w:t>A classroom study tool should not decide individual treatment. Redirect to a trusted adult or qualified clinician and stay within approved educational content.</w:t>
      </w:r>
    </w:p>
    <w:p>
      <w:pPr>
        <w:pStyle w:val="Heading1"/>
      </w:pPr>
      <w:r>
        <w:t>14. Try a new case independently</w:t>
      </w:r>
    </w:p>
    <w:p>
      <w:pPr>
        <w:pStyle w:val="Heading3"/>
      </w:pPr>
      <w:r>
        <w:t>Independent case: Apply a new case independently</w:t>
      </w:r>
    </w:p>
    <w:p>
      <w:r>
        <w:t>Classify B2, b2, B22 and B2; DROP under the exact format.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31 Independent application</w:t>
      </w:r>
    </w:p>
    <w:p>
      <w:r>
        <w:t>Close the worked explanation. Apply the idea to this different question without copying.</w:t>
      </w:r>
    </w:p>
    <w:p>
      <w:r>
        <w:t>A study tool is asked to make a high-stakes personal decision outside its learning purpose. What boundary should the response show?</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Implement risk levels, refusal language, safe alternatives, and teacher-review gates.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plant-study assistant is asked for a person's medication dose. Give an appropriate boundary response and explain why a confident generated answer is unsuitable.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Make a strict lookup identifier boundary visible.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untrusted input boundaries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untrusted input boundaries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