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ai-6/15</w:t>
      </w:r>
    </w:p>
    <w:p>
      <w:pPr>
        <w:pStyle w:val="Title"/>
      </w:pPr>
      <w:r>
        <w:t>Approval gates and idempotency</w:t>
      </w:r>
    </w:p>
    <w:p>
      <w:r>
        <w:t>Project: Grounded Learning Service</w:t>
      </w:r>
    </w:p>
    <w:p>
      <w:pPr>
        <w:pStyle w:val="Heading1"/>
      </w:pPr>
      <w:r>
        <w:t>01. Prepare the purpose, prerequisites and materials</w:t>
      </w:r>
    </w:p>
    <w:p>
      <w:pPr>
        <w:pStyle w:val="Heading3"/>
      </w:pPr>
      <w:r>
        <w:t>Teach the learning cycle</w:t>
      </w:r>
    </w:p>
    <w:p>
      <w:r>
        <w:t>Primary target: Explain the mechanism and terminology of approval gates and idempotency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Planning and action selection</w:t>
      </w:r>
    </w:p>
    <w:p>
      <w:r>
        <w:t>Without opening the old lesson, explain one key idea from Planning and action selection. Give an example and a mistake that the idea helps you avoid.</w:t>
      </w:r>
    </w:p>
    <w:p>
      <w:r>
        <w:t>Look for: Explain the mechanism and terminology of planning and action selection</w:t>
      </w:r>
    </w:p>
    <w:p>
      <w:r>
        <w:t>Reference example, not the only acceptable wording: Teacher explanation: Planning proposes steps; execution must still validate permissions and prerequisites for each step. Replanning cannot invent authority. For read-only reporting, allowed plan is validate -&gt; retrieve -&gt; verify -&gt; answer. If retrieval lacks evidence, route to review. Reject write or send steps before they run.</w:t>
      </w:r>
    </w:p>
    <w:p>
      <w:pPr>
        <w:pStyle w:val="Heading3"/>
      </w:pPr>
      <w:r>
        <w:t>Logs traces and privacy</w:t>
      </w:r>
    </w:p>
    <w:p>
      <w:r>
        <w:t>Without opening the old lesson, explain one key idea from Logs traces and privacy. Give an example and a mistake that the idea helps you avoid.</w:t>
      </w:r>
    </w:p>
    <w:p>
      <w:r>
        <w:t>Look for: Explain the mechanism and terminology of logs traces and privacy</w:t>
      </w:r>
    </w:p>
    <w:p>
      <w:r>
        <w:t>Reference example, not the only acceptable wording: Teacher explanation: Logs support diagnosis, but excessive recording can expose private content. Trace IDs link stages without storing complete sensitive inputs. For this policy log trace ID, stage, status, duration and error category; do not log passcodes, student text or teacher answers. Restrict access and declare retention.</w:t>
      </w:r>
    </w:p>
    <w:p>
      <w:pPr>
        <w:pStyle w:val="Heading3"/>
      </w:pPr>
      <w:r>
        <w:t>Integration tests and fixtures</w:t>
      </w:r>
    </w:p>
    <w:p>
      <w:r>
        <w:t>Without opening the old lesson, explain one key idea from Integration tests and fixtures. Give an example and a mistake that the idea helps you avoid.</w:t>
      </w:r>
    </w:p>
    <w:p>
      <w:r>
        <w:t>Look for: Explain the mechanism and terminology of integration tests and fixtures</w:t>
      </w:r>
    </w:p>
    <w:p>
      <w:r>
        <w:t>Reference example, not the only acceptable wording: Teacher explanation: Integration tests exercise connected components and failure propagation. Fixtures supply controlled input records and mocked service outcomes. Trace request validation, session permission, lookup and output validation together. Include absent sources and failing dependencies; verify that denied requests never invoke restricted lookup.</w:t>
      </w:r>
    </w:p>
    <w:p>
      <w:r>
        <w:t>Two 45-minute sessions. Approval gates bind side effects to an actor, exact version and destination. Idempotency prevents repeated requests with the same key from repeating a committed effect.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approval gates and idempotency</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approval gates and idempotency using the deciding step in this fictional service.</w:t>
      </w:r>
    </w:p>
    <w:p>
      <w:r>
        <w:t>This added worked case illustrates the week’s main idea. Retain all original and connected topics; schedule its practice within the teaching cycle.</w:t>
      </w:r>
    </w:p>
    <w:p>
      <w:pPr>
        <w:pStyle w:val="Heading1"/>
      </w:pPr>
      <w:r>
        <w:t>02. Explain and model the mechanism</w:t>
      </w:r>
    </w:p>
    <w:p>
      <w:r>
        <w:t>Approval gates bind side effects to an actor, exact version and destination. Idempotency prevents repeated requests with the same key from repeating a committed effect.</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The mock submission requires approval for request version v1 and destination D. Store key -&gt; committed result. Reusing the same key with the same payload returns that result; the same key with different payload is rejected.</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Idempotency key</w:t>
            </w:r>
          </w:p>
        </w:tc>
        <w:tc>
          <w:tcPr>
            <w:tcW w:type="dxa" w:w="5112"/>
          </w:tcPr>
          <w:p>
            <w:r>
              <w:t>An identifier for deduplicating one logical operation</w:t>
            </w:r>
          </w:p>
        </w:tc>
      </w:tr>
      <w:tr>
        <w:tc>
          <w:tcPr>
            <w:tcW w:type="dxa" w:w="5112"/>
          </w:tcPr>
          <w:p>
            <w:r>
              <w:t>Approval gate</w:t>
            </w:r>
          </w:p>
        </w:tc>
        <w:tc>
          <w:tcPr>
            <w:tcW w:type="dxa" w:w="5112"/>
          </w:tcPr>
          <w:p>
            <w:r>
              <w:t>A required permission check before a side effect</w:t>
            </w:r>
          </w:p>
        </w:tc>
      </w:tr>
      <w:tr>
        <w:tc>
          <w:tcPr>
            <w:tcW w:type="dxa" w:w="5112"/>
          </w:tcPr>
          <w:p>
            <w:r>
              <w:t>Payload conflict</w:t>
            </w:r>
          </w:p>
        </w:tc>
        <w:tc>
          <w:tcPr>
            <w:tcW w:type="dxa" w:w="5112"/>
          </w:tcPr>
          <w:p>
            <w:r>
              <w:t>Different operation content under the same key</w:t>
            </w:r>
          </w:p>
        </w:tc>
      </w:tr>
    </w:tbl>
    <w:p>
      <w:pPr>
        <w:pStyle w:val="Heading3"/>
      </w:pPr>
      <w:r>
        <w:t>Approval gates and idempotency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Approved send v1 to D uses key K, commits once, then caller retries K with the identical payload.</w:t>
            </w:r>
          </w:p>
        </w:tc>
        <w:tc>
          <w:tcPr>
            <w:tcW w:type="dxa" w:w="3408"/>
          </w:tcPr>
          <w:p>
            <w:r>
              <w:t>The mock submission requires approval for request version v1 and destination D. Store key -&gt; committed result. Reusing the same key with the same payload returns that result; the same key with different payload is rejected.</w:t>
            </w:r>
          </w:p>
        </w:tc>
        <w:tc>
          <w:tcPr>
            <w:tcW w:type="dxa" w:w="3408"/>
          </w:tcPr>
          <w:p>
            <w:r>
              <w:t>Return the stored committed result; one effect total. A timeout alone is not evidence the first effect failed.</w:t>
            </w:r>
          </w:p>
        </w:tc>
      </w:tr>
    </w:tbl>
    <w:p>
      <w:r>
        <w:t>The figure connects this chapter's worked input, declared procedure and result. Read the complete worked reasoning for qualifiers and intermediate steps; the abbreviated labels do not replace that reasoning.</w:t>
      </w:r>
    </w:p>
    <w:p>
      <w:r>
        <w:t>Guided: Return the stored committed result; one effect total. A timeout alone is not evidence the first effect failed. Qualification: A key prevents duplicate application effects only within the implemented persistence and downstream guarantees; it is not universal exactly-once delivery.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Approved send v1 to D uses key K, commits once, then caller retries K with the identical payload.</w:t>
      </w:r>
    </w:p>
    <w:p>
      <w:r>
        <w:t>Return the stored committed result; one effect total. A timeout alone is not evidence the first effect failed.</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r>
        <w:t>Optional local lab: predict the printed result before running this standalone Python 3 example. Change one relevant boundary input, record the outcome and state the contract or statistical assumptions. The program uses fictional values and the Python standard library; it performs no external operations.</w:t>
      </w:r>
    </w:p>
    <w:p>
      <w:r>
        <w:rPr>
          <w:rFonts w:ascii="Courier New" w:hAnsi="Courier New"/>
          <w:sz w:val="18"/>
        </w:rPr>
        <w:t>from copy import deepcopy</w:t>
        <w:br/>
        <w:br/>
        <w:t>class MockLedger:</w:t>
        <w:br/>
        <w:t xml:space="preserve">    """In-memory classroom deduplication, not durable exactly-once delivery."""</w:t>
        <w:br/>
        <w:br/>
        <w:t xml:space="preserve">    def __init__(self):</w:t>
        <w:br/>
        <w:t xml:space="preserve">        self.committed = {}</w:t>
        <w:br/>
        <w:t xml:space="preserve">        self.effects = []</w:t>
        <w:br/>
        <w:br/>
        <w:t xml:space="preserve">    def submit(self, key, payload, approval):</w:t>
        <w:br/>
        <w:t xml:space="preserve">        if approval != payload:</w:t>
        <w:br/>
        <w:t xml:space="preserve">            raise PermissionError('exact approval required')</w:t>
        <w:br/>
        <w:t xml:space="preserve">        if key in self.committed:</w:t>
        <w:br/>
        <w:t xml:space="preserve">            (original, result) = self.committed[key]</w:t>
        <w:br/>
        <w:t xml:space="preserve">            if original != payload:</w:t>
        <w:br/>
        <w:t xml:space="preserve">                raise ValueError('idempotency conflict')</w:t>
        <w:br/>
        <w:t xml:space="preserve">            return deepcopy(result)</w:t>
        <w:br/>
        <w:t xml:space="preserve">        result = {'operation_id': key, 'status': 'committed'}</w:t>
        <w:br/>
        <w:t xml:space="preserve">        self.effects.append(deepcopy(payload))</w:t>
        <w:br/>
        <w:t xml:space="preserve">        self.committed[key] = (deepcopy(payload), deepcopy(result))</w:t>
        <w:br/>
        <w:t xml:space="preserve">        return deepcopy(result)</w:t>
        <w:br/>
        <w:br/>
        <w:t>ledger = MockLedger()</w:t>
        <w:br/>
        <w:t>payload = {"version": "v1", "destination": "D"}</w:t>
        <w:br/>
        <w:t>ledger.submit("K", payload, payload)</w:t>
        <w:br/>
        <w:t>ledger.submit("K", payload, payload)</w:t>
        <w:br/>
        <w:t>print(len(ledger.effects))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Approval gates and idempotency</w:t>
      </w:r>
    </w:p>
    <w:p>
      <w:r>
        <w:t>One approval, one reservation. A desk tool needs approval for the exact request and deduplicates repeated request keys.</w:t>
      </w:r>
    </w:p>
    <w:p>
      <w:pPr>
        <w:pStyle w:val="Heading3"/>
      </w:pPr>
      <w:r>
        <w:t>The facts we will use</w:t>
      </w:r>
    </w:p>
    <w:p>
      <w:r>
        <w:t>K9 reserves desk 4 and is approved once. Two copies of K9 arrive.</w:t>
      </w:r>
    </w:p>
    <w:p>
      <w:r>
        <w:drawing>
          <wp:inline xmlns:a="http://schemas.openxmlformats.org/drawingml/2006/main" xmlns:pic="http://schemas.openxmlformats.org/drawingml/2006/picture">
            <wp:extent cx="5486400" cy="5185229"/>
            <wp:docPr id="1" name="Picture 1" descr="Approval gates and idempotency. Check approval: The approved identifier and desk match K9.. Execute first copy: No result is stored yet, so perform the approved reservation once.. Handle duplicate: Return the stored K9 result without another reservation."/>
            <wp:cNvGraphicFramePr>
              <a:graphicFrameLocks noChangeAspect="1"/>
            </wp:cNvGraphicFramePr>
            <a:graphic>
              <a:graphicData uri="http://schemas.openxmlformats.org/drawingml/2006/picture">
                <pic:pic>
                  <pic:nvPicPr>
                    <pic:cNvPr id="0" name="academy-visual-ai-6-15.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Check approval</w:t>
            </w:r>
          </w:p>
        </w:tc>
        <w:tc>
          <w:tcPr>
            <w:tcW w:type="dxa" w:w="5112"/>
          </w:tcPr>
          <w:p>
            <w:r>
              <w:t>The approved identifier and desk match K9.</w:t>
            </w:r>
          </w:p>
        </w:tc>
      </w:tr>
      <w:tr>
        <w:tc>
          <w:tcPr>
            <w:tcW w:type="dxa" w:w="5112"/>
          </w:tcPr>
          <w:p>
            <w:r>
              <w:t>2. Execute first copy</w:t>
            </w:r>
          </w:p>
        </w:tc>
        <w:tc>
          <w:tcPr>
            <w:tcW w:type="dxa" w:w="5112"/>
          </w:tcPr>
          <w:p>
            <w:r>
              <w:t>No result is stored yet, so perform the approved reservation once.</w:t>
            </w:r>
          </w:p>
        </w:tc>
      </w:tr>
      <w:tr>
        <w:tc>
          <w:tcPr>
            <w:tcW w:type="dxa" w:w="5112"/>
          </w:tcPr>
          <w:p>
            <w:r>
              <w:t>3. Handle duplicate</w:t>
            </w:r>
          </w:p>
        </w:tc>
        <w:tc>
          <w:tcPr>
            <w:tcW w:type="dxa" w:w="5112"/>
          </w:tcPr>
          <w:p>
            <w:r>
              <w:t>Return the stored K9 result without another reservation.</w:t>
            </w:r>
          </w:p>
        </w:tc>
      </w:tr>
    </w:tbl>
    <w:p>
      <w:r>
        <w:t>Match each pictured step to the supplied facts. This is a worked teaching case, not an independent assessment.</w:t>
      </w:r>
    </w:p>
    <w:p>
      <w:pPr>
        <w:pStyle w:val="Heading3"/>
      </w:pPr>
      <w:r>
        <w:t>Why this result follows</w:t>
      </w:r>
    </w:p>
    <w:p>
      <w:r>
        <w:t>Approval answers whether an action may proceed. Idempotency prevents repeated handling of that action from creating duplicate effects.</w:t>
      </w:r>
    </w:p>
    <w:p>
      <w:pPr>
        <w:pStyle w:val="Heading3"/>
      </w:pPr>
      <w:r>
        <w:t>What this example does not establish</w:t>
      </w:r>
    </w:p>
    <w:p>
      <w:r>
        <w:t>Deduplication requires reliable stored keys; this illustration does not prove crash-safe exactly-once execution.</w:t>
      </w:r>
    </w:p>
    <w:p>
      <w:pPr>
        <w:pStyle w:val="Heading3"/>
      </w:pPr>
      <w:r>
        <w:t>Change one thing in the pictured case</w:t>
      </w:r>
    </w:p>
    <w:p>
      <w:r>
        <w:t>Change: A new K10 asks for desk 5 without approval.</w:t>
      </w:r>
    </w:p>
    <w:p>
      <w:r>
        <w:t>Prediction: Stop K10 at the approval gate.</w:t>
      </w:r>
    </w:p>
    <w:p>
      <w:r>
        <w:t>Reason: K9’s approval does not apply to a different action.</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Approved send v1 to D uses key K, commits once, then caller retries K with the identical payload. Show the intermediate steps and give the conclusion with its scope.</w:t>
      </w:r>
    </w:p>
    <w:p>
      <w:r>
        <w:t>Teacher check: Teacher explanation: Return the stored committed result; one effect total. A timeout alone is not evidence the first effect failed.</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Approval gates and idempotency. Proposed explanation: “The worked result establishes every future case”. Decide whether this explanation is supported. Point to the step or supplied fact that decides; explain your repair if needed.</w:t>
      </w:r>
    </w:p>
    <w:p>
      <w:r>
        <w:t>Expected correction: A key prevents duplicate application effects only within the implemented persistence and downstream guarantees; it is not universal exactly-once delivery.</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Trace the two deliveries of approved K9. How many reservations should occur, and why can a new K10 for desk 5 not borrow K9’s approval?</w:t>
      </w:r>
    </w:p>
    <w:p>
      <w:pPr>
        <w:pStyle w:val="Heading3"/>
      </w:pPr>
      <w:r>
        <w:t>Reasoned teacher answer</w:t>
      </w:r>
    </w:p>
    <w:p>
      <w:r>
        <w:t>The approved identifier and desk match K9. No result is stored yet, so perform the approved reservation once. Return the stored K9 result without another reservation. Changed case: Stop K10 at the approval gate. K9’s approval does not apply to a different action.</w:t>
      </w:r>
    </w:p>
    <w:p>
      <w:r>
        <w:t>Changed-case reasoning: Stop K10 at the approval gate. K9’s approval does not apply to a different action.</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A key prevents duplicate application effects only within the implemented persistence and downstream guarantees; it is not universal exactly-once delivery.</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Return the stored committed result; one effect total. A timeout alone is not evidence the first effect failed. Qualification: A key prevents duplicate application effects only within the implemented persistence and downstream guarantees; it is not universal exactly-once delivery.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Approval gates bind side effects to an actor, exact version and destination. Idempotency prevents repeated requests with the same key from repeating a committed effect. The mock submission requires approval for request version v1 and destination D. Store key -&gt; committed result. Reusing the same key with the same payload returns that result; the same key with different payload is rejected.</w:t>
      </w:r>
    </w:p>
    <w:p>
      <w:pPr>
        <w:pStyle w:val="Heading3"/>
      </w:pPr>
      <w:r>
        <w:t>W2 Trace the worked case</w:t>
      </w:r>
    </w:p>
    <w:p>
      <w:r>
        <w:t>Approved send v1 to D uses key K, commits once, then caller retries K with the identical payload. Show the intermediate steps and give the conclusion with its scope.</w:t>
      </w:r>
    </w:p>
    <w:p>
      <w:r>
        <w:t>Teacher explanation: Return the stored committed result; one effect total. A timeout alone is not evidence the first effect failed.</w:t>
      </w:r>
    </w:p>
    <w:p>
      <w:pPr>
        <w:pStyle w:val="Heading3"/>
      </w:pPr>
      <w:r>
        <w:t>W3 Audit the limit</w:t>
      </w:r>
    </w:p>
    <w:p>
      <w:r>
        <w:t>A report omits this qualification: A key prevents duplicate application effects only within the implemented persistence and downstream guarantees; it is not universal exactly-once delivery. Explain how omitting it could change a reader's interpretation, and write an accurate replacement.</w:t>
      </w:r>
    </w:p>
    <w:p>
      <w:r>
        <w:t>Teacher explanation: A key prevents duplicate application effects only within the implemented persistence and downstream guarantees; it is not universal exactly-once delivery. State the observed result separately from the unverified or out-of-scope claim; preserve the original evidence rather than inventing a missing fact.</w:t>
      </w:r>
    </w:p>
    <w:p>
      <w:pPr>
        <w:pStyle w:val="Heading3"/>
      </w:pPr>
      <w:r>
        <w:t>W4 Apply a new case independently</w:t>
      </w:r>
    </w:p>
    <w:p>
      <w:r>
        <w:t>Key J already committed room A. A retry uses key J but room B. What should happen?</w:t>
      </w:r>
    </w:p>
    <w:p>
      <w:r>
        <w:t>Teacher explanation: Reject key/payload conflict; do not silently send B or return A as though it represented B. Obtain version-correct approval for a new operation.</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 key prevents duplicate application effects only within the implemented persistence and downstream guarantees; it is not universal exactly-once delivery. The new case should test this particular mechanism rather than merely restate the original result.</w:t>
      </w:r>
    </w:p>
    <w:p>
      <w:pPr>
        <w:pStyle w:val="Heading3"/>
      </w:pPr>
      <w:r>
        <w:t>Independent assessment and fresh retry</w:t>
      </w:r>
    </w:p>
    <w:p>
      <w:r>
        <w:t>W4: Reject key/payload conflict; do not silently send B or return A as though it represented B. Obtain version-correct approval for a new operation. Require intermediate reasoning and the stated scope. Fresh retry: Key M committed recipient X; retry changes recipient Y. Expected reasoning: Reject mismatch and preserve original result. Idempotency does not authorise a new recipient. If students need support, record it and reassess with another new case rather than awarding independence to a copied answer.</w:t>
      </w:r>
    </w:p>
    <w:p>
      <w:pPr>
        <w:pStyle w:val="Heading3"/>
      </w:pPr>
      <w:r>
        <w:t>Assess independent transfer</w:t>
      </w:r>
    </w:p>
    <w:p>
      <w:r>
        <w:t>Selected case: Key J already committed room A. A retry uses key J but room B. What should happen?</w:t>
      </w:r>
    </w:p>
    <w:p>
      <w:pPr>
        <w:pStyle w:val="Heading3"/>
      </w:pPr>
      <w:r>
        <w:t>Selected case answer</w:t>
      </w:r>
    </w:p>
    <w:p>
      <w:r>
        <w:t>Teacher explanation: Reject key/payload conflict; do not silently send B or return A as though it represented B. Obtain version-correct approval for a new operation.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approval gates and idempotency evidence sheet to Grounded Learning Service. Show how you can explain the mechanism and terminology of approval gates and idempotency.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Timeouts retries and cancellation.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ai-6/16, ai-6/18, ai-6/21.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Grounded Learning Service, retain an annotated trace and the changed-case result. Name the contract or evidence that makes the deciding step valid, so another team can review it.</w:t>
      </w:r>
    </w:p>
    <w:p>
      <w:pPr>
        <w:pStyle w:val="Heading1"/>
      </w:pPr>
      <w:r>
        <w:t>07. Prepare, teach and assess</w:t>
      </w:r>
    </w:p>
    <w:p>
      <w:r>
        <w:t>Teaching target: Explain the mechanism and terminology of approval gates and idempotency</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Approved send v1 to D uses key K, commits once, then caller retries K with the identical payload. Show the intermediate steps and give the conclusion with its scope.</w:t>
      </w:r>
    </w:p>
    <w:p>
      <w:r>
        <w:t>Reasoned practice answer: Teacher explanation: Return the stored committed result; one effect total. A timeout alone is not evidence the first effect failed.</w:t>
      </w:r>
    </w:p>
    <w:p>
      <w:r>
        <w:t>Check every learner before discussion: Use the worked case for Approval gates and idempotency. Proposed explanation: “The worked result establishes every future case”. Decide whether this explanation is supported. Point to the step or supplied fact that decides; explain your repair if needed.</w:t>
      </w:r>
    </w:p>
    <w:p>
      <w:r>
        <w:t>Misconception repair: A key prevents duplicate application effects only within the implemented persistence and downstream guarantees; it is not universal exactly-once delivery.</w:t>
      </w:r>
    </w:p>
    <w:p>
      <w:r>
        <w:t>Support: read the exact case aloud, enlarge the labelled picture, supply input cards and model only the first deciding step. Accept a spoken explanation or drawing; retain the reasoning goal.</w:t>
      </w:r>
    </w:p>
    <w:p>
      <w:r>
        <w:t>Extension: A new K10 asks for desk 5 without approval. Require a prediction and a reason before comparing. Expected result: Stop K10 at the approval gate. Reason: K9’s approval does not apply to a different action.</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Test changed cases. Keep normal, boundary and failure cases; compare expected and observed results.</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