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ai-6/18</w:t>
      </w:r>
    </w:p>
    <w:p>
      <w:pPr>
        <w:pStyle w:val="Title"/>
      </w:pPr>
      <w:r>
        <w:t>Untrusted input boundaries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untrusted input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External side effects and recovery</w:t>
      </w:r>
    </w:p>
    <w:p>
      <w:r>
        <w:t>Without opening the old lesson, explain one key idea from External side effects and recovery. Give an example and a mistake that the idea helps you avoid.</w:t>
      </w:r>
    </w:p>
    <w:p>
      <w:r>
        <w:t>Look for: Explain the mechanism and terminology of external side effects and recovery</w:t>
      </w:r>
    </w:p>
    <w:p>
      <w:r>
        <w:t>Reference example, not the only acceptable wording: 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pPr>
        <w:pStyle w:val="Heading3"/>
      </w:pPr>
      <w:r>
        <w:t>Approval gates and idempotency</w:t>
      </w:r>
    </w:p>
    <w:p>
      <w:r>
        <w:t>Without opening the old lesson, explain one key idea from Approval gates and idempotency. Give an example and a mistake that the idea helps you avoid.</w:t>
      </w:r>
    </w:p>
    <w:p>
      <w:r>
        <w:t>Look for: Explain the mechanism and terminology of approval gates and idempotency</w:t>
      </w:r>
    </w:p>
    <w:p>
      <w:r>
        <w:t>Reference example, not the only acceptable wording: 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pPr>
        <w:pStyle w:val="Heading3"/>
      </w:pPr>
      <w:r>
        <w:t>Logs traces and privacy</w:t>
      </w:r>
    </w:p>
    <w:p>
      <w:r>
        <w:t>Without opening the old lesson, explain one key idea from Logs traces and privacy. Give an example and a mistake that the idea helps you avoid.</w:t>
      </w:r>
    </w:p>
    <w:p>
      <w:r>
        <w:t>Look for: Explain the mechanism and terminology of logs traces and privacy</w:t>
      </w:r>
    </w:p>
    <w:p>
      <w:r>
        <w:t>Reference example, not the only acceptable wording: 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r>
        <w:t>Two 45-minute sessions. Untrusted input must be treated according to a contract before reaching code, queries or tools. Data that resembles instructions does not acquire execution authority.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untrusted input boundaries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untrusted input boundaries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toy lookup accept room IDs matching one uppercase letter plus one digit. Perform exact dictionary lookup; never evaluate user strings as code. Reject invalid length or characters.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Guided: A1 passes the format; delete_all() fails. Neither is executed as code, including any instruction-shaped string. Qualification: A format check does not grant resource access; authorisation follows separately.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Untrusted input boundaries</w:t>
      </w:r>
    </w:p>
    <w:p>
      <w:r>
        <w:t>Check shape before permission. A toy tool accepts exactly one ASCII lowercase letter followed by one digit, with no trimming.</w:t>
      </w:r>
    </w:p>
    <w:p>
      <w:pPr>
        <w:pStyle w:val="Heading3"/>
      </w:pPr>
      <w:r>
        <w:t>The facts we will use</w:t>
      </w:r>
    </w:p>
    <w:p>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pStyle w:val="Heading3"/>
      </w:pPr>
      <w:r>
        <w:t>Why this result follows</w:t>
      </w:r>
    </w:p>
    <w:p>
      <w:r>
        <w:t>Input shape and permission answer different questions. Silently normalising these inputs would change the stated contract.</w:t>
      </w:r>
    </w:p>
    <w:p>
      <w:pPr>
        <w:pStyle w:val="Heading3"/>
      </w:pPr>
      <w:r>
        <w:t>What this example does not establish</w:t>
      </w:r>
    </w:p>
    <w:p>
      <w:r>
        <w:t>Some systems normalise inputs explicitly; this fictional contract deliberately does not.</w:t>
      </w:r>
    </w:p>
    <w:p>
      <w:pPr>
        <w:pStyle w:val="Heading3"/>
      </w:pPr>
      <w:r>
        <w:t>Change one thing in the pictured case</w:t>
      </w:r>
    </w:p>
    <w:p>
      <w:r>
        <w:t>Change: Replace h3 with z0.</w:t>
      </w:r>
    </w:p>
    <w:p>
      <w:r>
        <w:t>Prediction: The shape passes; resource access is still undecided.</w:t>
      </w:r>
    </w:p>
    <w:p>
      <w:r>
        <w:t>Reason: Structure contains no evidence of ownership or user permission.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Inputs A1 and delete_all() are supplied to room lookup. Show the intermediate steps and give the conclusion with its scope.</w:t>
      </w:r>
    </w:p>
    <w:p>
      <w:r>
        <w:t>Teacher check: Teacher explanation: A1 passes the format; delete_all() fails. Neither is executed as code, including any instruction-shaped string.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r>
        <w:t>Expected correction: A format check does not grant resource access; authorisation follows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Classify h3, H3, h30 and the trailing-space input by the stated shape contract. Does a valid z0 grant record access, and which separate gate still remains?</w:t>
      </w:r>
    </w:p>
    <w:p>
      <w:pPr>
        <w:pStyle w:val="Heading3"/>
      </w:pPr>
      <w:r>
        <w:t>Reasoned teacher answer</w:t>
      </w:r>
    </w:p>
    <w:p>
      <w:r>
        <w:t>Two characters with the required case and digit pass. H3 has wrong case; h30 and the trailing-space input have wrong length. An accepted identifier still needs trusted authorisation. Changed case: The shape passes; resource access is still undecided. Structure contains no evidence of ownership or user permission.</w:t>
      </w:r>
    </w:p>
    <w:p>
      <w:r>
        <w:t>Changed-case reasoning: The shape passes; resource access is still undecided. Structure contains no evidence of ownership or user permission.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format check does not grant resource access; authorisation follows separately.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A1 passes the format; delete_all() fails. Neither is executed as code, including any instruction-shaped string. Qualification: A format check does not grant resource access; authorisation follows separately.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W2 Trace the worked case</w:t>
      </w:r>
    </w:p>
    <w:p>
      <w:r>
        <w:t>Inputs A1 and delete_all() are supplied to room lookup. Show the intermediate steps and give the conclusion with its scope.</w:t>
      </w:r>
    </w:p>
    <w:p>
      <w:r>
        <w:t>Teacher explanation: A1 passes the format; delete_all() fails. Neither is executed as code, including any instruction-shaped string.</w:t>
      </w:r>
    </w:p>
    <w:p>
      <w:pPr>
        <w:pStyle w:val="Heading3"/>
      </w:pPr>
      <w:r>
        <w:t>W3 Audit the limit</w:t>
      </w:r>
    </w:p>
    <w:p>
      <w:r>
        <w:t>A report omits this qualification: A format check does not grant resource access; authorisation follows separately. Explain how omitting it could change a reader's interpretation, and write an accurate replacement.</w:t>
      </w:r>
    </w:p>
    <w:p>
      <w:r>
        <w:t>Teacher explanation: A format check does not grant resource access; authorisation follows separately. State the observed result separately from the unverified or out-of-scope claim; preserve the original evidence rather than inventing a missing fact.</w:t>
      </w:r>
    </w:p>
    <w:p>
      <w:pPr>
        <w:pStyle w:val="Heading3"/>
      </w:pPr>
      <w:r>
        <w:t>W4 Apply a new case independently</w:t>
      </w:r>
    </w:p>
    <w:p>
      <w:r>
        <w:t>Classify B2, b2, B22 and B2; DROP under the exact format.</w:t>
      </w:r>
    </w:p>
    <w:p>
      <w:r>
        <w:t>Teacher explanation: B2 valid; lowercase, extra digit and injected command text invalid. Validation and safe lookup both apply.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format check does not grant resource access; authorisation follows separately. The new case should test this particular mechanism rather than merely restate the original result.</w:t>
      </w:r>
    </w:p>
    <w:p>
      <w:pPr>
        <w:pStyle w:val="Heading3"/>
      </w:pPr>
      <w:r>
        <w:t>Independent assessment and fresh retry</w:t>
      </w:r>
    </w:p>
    <w:p>
      <w:r>
        <w:t>W4: B2 valid; lowercase, extra digit and injected command text invalid. Validation and safe lookup both apply. Require intermediate reasoning and the stated scope. Fresh retry: Inputs Z9 and Z9 followed by a newline. Expected reasoning: Z9 valid; extra newline fails exact full-match policy. Do not silently trim unless specified. If students need support, record it and reassess with another new case rather than awarding independence to a copied answer.</w:t>
      </w:r>
    </w:p>
    <w:p>
      <w:pPr>
        <w:pStyle w:val="Heading3"/>
      </w:pPr>
      <w:r>
        <w:t>Assess independent transfer</w:t>
      </w:r>
    </w:p>
    <w:p>
      <w:r>
        <w:t>Selected case: Input format is exactly one ASCII uppercase letter followed by one digit, with no trimming. Evaluate C0, c0, C00, "C0 ", and None. Does a valid format grant access?</w:t>
      </w:r>
    </w:p>
    <w:p>
      <w:pPr>
        <w:pStyle w:val="Heading3"/>
      </w:pPr>
      <w:r>
        <w:t>Selected case answer</w:t>
      </w:r>
    </w:p>
    <w:p>
      <w:r>
        <w:t>Only C0 has the required format. Lowercase, extra characters, trailing space and a non-string value fail. Format validation and authorization are separate; matching shape grants no permission.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Sandboxing and resource limits.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ai-6/19, ai-6/21, ai-6/24.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untrusted input boundaries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Inputs A1 and delete_all() are supplied to room lookup. Show the intermediate steps and give the conclusion with its scope.</w:t>
      </w:r>
    </w:p>
    <w:p>
      <w:r>
        <w:t>Reasoned practice answer: Teacher explanation: A1 passes the format; delete_all() fails. Neither is executed as code, including any instruction-shaped string.</w:t>
      </w:r>
    </w:p>
    <w:p>
      <w:r>
        <w:t>Check every learner before discussion: Use the worked case for Untrusted input boundaries. Proposed explanation: “The worked result establishes every future case”. Decide whether this explanation is supported. Point to the step or supplied fact that decides; explain your repair if needed.</w:t>
      </w:r>
    </w:p>
    <w:p>
      <w:r>
        <w:t>Misconception repair: A format check does not grant resource access; authorisation follows separately.</w:t>
      </w:r>
    </w:p>
    <w:p>
      <w:r>
        <w:t>Support: read the exact case aloud, enlarge the labelled picture, supply input cards and model only the first deciding step. Accept a spoken explanation or drawing; retain the reasoning goal.</w:t>
      </w:r>
    </w:p>
    <w:p>
      <w:r>
        <w:t>Extension: Replace h3 with z0. Require a prediction and a reason before comparing. Expected result: The shape passes; resource access is still undecided. Reason: Structure contains no evidence of ownership or user permission.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