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ai-1/14</w:t>
      </w:r>
    </w:p>
    <w:p>
      <w:pPr>
        <w:pStyle w:val="Title"/>
      </w:pPr>
      <w:r>
        <w:t>Build a Human Classifier</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Learning from Examples</w:t>
      </w:r>
    </w:p>
    <w:p>
      <w:r>
        <w:t>Without opening the old lesson, explain one key idea from Learning from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Repeating Efficiently</w:t>
      </w:r>
    </w:p>
    <w:p>
      <w:r>
        <w:t>Without opening the old lesson, explain one key idea from Repeating Efficiently.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Useful Clues</w:t>
      </w:r>
    </w:p>
    <w:p>
      <w:r>
        <w:t>Without opening the old lesson, explain one key idea from Features: Useful Clues.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Construct both outcome paths for Constructing a classifier.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classroom rule labels anything with wings as a bird. Test a bat, a penguin and a toy aeroplane. Define the target independently, then propose a next step without pretending one visual clue solves biology.</w:t>
      </w:r>
    </w:p>
    <w:p>
      <w:pPr>
        <w:pStyle w:val="Heading1"/>
      </w:pPr>
      <w:r>
        <w:t>06. Solve the given case</w:t>
      </w:r>
    </w:p>
    <w:p>
      <w:r>
        <w:t>A human classifier uses has wheels means vehicle on a bicycle, wheelchair, toy car and boat.</w:t>
      </w:r>
    </w:p>
    <w:p>
      <w:r>
        <w:t>Apply the rule and identify a limitation.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Use a human classifier: three sides means triangle; four equal sides means square. Classify a three-sided card and a card whose corner is hidden. When should you pause?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Make the sorter's current decision boundary visible as a rule chart or feature map.</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classroom rule labels anything with wings as a bird. Test a bat, a penguin and a toy aeroplane. Define the target independently, then propose a next step without pretending one visual clue solves biology.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an input contract</w:t>
      </w:r>
    </w:p>
    <w:p>
      <w:r>
        <w:t>Write the complete Tower1 input contract. Give one accepted example and three different rejected examples, each with its reason. Explain why an accepted input does not have to be one of the examples used to fit the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Construct both outcome paths</w:t>
      </w:r>
    </w:p>
    <w:p>
      <w:r>
        <w:t>Write numbered instructions for Tower1, including input checks, the stopping path after a failed check, the threshold rule and the record to keep. Your partner must be able to use them without supplying an unstated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Build a Human Classifier</w:t>
      </w:r>
    </w:p>
    <w:p>
      <w:r>
        <w:t>A fictional ribbon sorter uses a fixed instruction card called RibbonR.</w:t>
      </w:r>
    </w:p>
    <w:p>
      <w:r>
        <w:t>Valid input: whole-number length from 0 to 15 with unit cm.</w:t>
      </w:r>
    </w:p>
    <w:p>
      <w:r>
        <w:t>Predict long at least 9 cm; otherwise short. Missing, wrong-unit or out-of-range values request clarification.</w:t>
      </w:r>
    </w:p>
    <w:p>
      <w:r>
        <w:drawing>
          <wp:inline xmlns:a="http://schemas.openxmlformats.org/drawingml/2006/main" xmlns:pic="http://schemas.openxmlformats.org/drawingml/2006/picture">
            <wp:extent cx="5346057" cy="5943599"/>
            <wp:docPr id="1" name="Picture 1" descr="Build a Human Classifier. Input contract: Check that length is present, whole, within 0–15, and in cm.. Valid cases: 8 cm → short; 9 cm → long.. Invalid cases: 16 cm and blank length → clarification, not a forced label.. Keep records: Store input, contract result, rule version and prediction."/>
            <wp:cNvGraphicFramePr>
              <a:graphicFrameLocks noChangeAspect="1"/>
            </wp:cNvGraphicFramePr>
            <a:graphic>
              <a:graphicData uri="http://schemas.openxmlformats.org/drawingml/2006/picture">
                <pic:pic>
                  <pic:nvPicPr>
                    <pic:cNvPr id="0" name="academy-visual-ai-1-14.png"/>
                    <pic:cNvPicPr/>
                  </pic:nvPicPr>
                  <pic:blipFill>
                    <a:blip r:embed="rId9"/>
                    <a:stretch>
                      <a:fillRect/>
                    </a:stretch>
                  </pic:blipFill>
                  <pic:spPr>
                    <a:xfrm>
                      <a:off x="0" y="0"/>
                      <a:ext cx="5346057" cy="5943599"/>
                    </a:xfrm>
                    <a:prstGeom prst="rect"/>
                  </pic:spPr>
                </pic:pic>
              </a:graphicData>
            </a:graphic>
          </wp:inline>
        </w:drawing>
      </w:r>
    </w:p>
    <w:p>
      <w:r>
        <w:t>Trace 0 cm and explain why clarification is different from predicting short.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Create a sorter instruction card covering valid values, equality, missing fields and who can resolve clarification requests.</w:t>
      </w:r>
    </w:p>
    <w:p>
      <w:pPr>
        <w:pStyle w:val="Heading1"/>
      </w:pPr>
      <w:r>
        <w:t>19. Project portfolio milestone</w:t>
      </w:r>
    </w:p>
    <w:p>
      <w:r>
        <w:t>Project: Helpful Classroom Sorter</w:t>
      </w:r>
    </w:p>
    <w:p>
      <w:r>
        <w:t>Current milestone: Test changed cases. Keep normal, boundary and failure cases; compare expected and observed results.</w:t>
      </w:r>
    </w:p>
    <w:p>
      <w:r>
        <w:t>Create a sorter instruction card covering valid values, equality, missing fields and who can resolve clarification requests.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