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ai-3/28</w:t>
      </w:r>
    </w:p>
    <w:p>
      <w:pPr>
        <w:pStyle w:val="Title"/>
      </w:pPr>
      <w:r>
        <w:t>Privacy by Design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Quality Rubrics</w:t>
      </w:r>
    </w:p>
    <w:p>
      <w: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 retention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Retention is5 days, inclusive deletion boundary.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study tool needs topic and reading level but proposes storing addresses and all conversations forever. Design a smaller record and a deletion rule.</w:t>
      </w:r>
    </w:p>
    <w:p>
      <w:pPr>
        <w:pStyle w:val="Heading1"/>
      </w:pPr>
      <w:r>
        <w:t>06. Solve the given case</w:t>
      </w:r>
    </w:p>
    <w:p>
      <w:r>
        <w:t>A study tool plans to retain names, addresses and all chats forever.</w:t>
      </w:r>
    </w:p>
    <w:p>
      <w:r>
        <w:t>Design a smaller data plan.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practice quiz needs a topic and difficulty. A form also asks for home address and date of birth. What should be removed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a minimal data map and visible memory controls before expanding features.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study tool needs topic and reading level but proposes storing addresses and all conversations forever. Design a smaller record and a deletion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Record ages are6,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This fictional retention exercise is not a statement of legal retention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Retention is5 days, inclusive deletion boundary. Ages4,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Privacy by Design</w:t>
      </w:r>
    </w:p>
    <w:p>
      <w:r>
        <w:t>Trace deletion through both a working folder and a cache.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r>
        <w:t>Which IDs and locations must appear in the deletion evidence?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