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ai-3/33</w:t>
      </w:r>
    </w:p>
    <w:p>
      <w:pPr>
        <w:pStyle w:val="Title"/>
      </w:pPr>
      <w:r>
        <w:t>Capstone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requirements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Design a chapter assistant with one answerable, one ambiguous and one unanswerable query. State the expected behaviour and one mandatory quality criterion.</w:t>
      </w:r>
    </w:p>
    <w:p>
      <w:pPr>
        <w:pStyle w:val="Heading1"/>
      </w:pPr>
      <w:r>
        <w:t>06. Solve the given case</w:t>
      </w:r>
    </w:p>
    <w:p>
      <w:r>
        <w:t>Capstone: answer from one approved chapter with citations and a missing-evidence fallback.</w:t>
      </w:r>
    </w:p>
    <w:p>
      <w:r>
        <w:t>Define acceptance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capstone goal is helps students. Rewrite it as an observable test for a passage-based study assistant.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Freeze the Study Buddy v1 design and acceptance tests before implementation.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Design a chapter assistant with one answerable, one ambiguous and one unanswerable query. State the expected behaviour and one mandatory quality criterion.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complete capstone plan is not evidence that the implementation meets it; evaluate after building.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Student equipment assistant has public inventory I, restricted purchase ledger L and public booking notice B. Define eligible corpus, baseline and a missing-evidence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Design</w:t>
      </w:r>
    </w:p>
    <w:p>
      <w:r>
        <w:t>Plan a bounded study buddy around a small approved vocabulary corpus.</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r>
        <w:t>What should the project plan record before the new flower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