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ai-4/31</w:t>
      </w:r>
    </w:p>
    <w:p>
      <w:pPr>
        <w:pStyle w:val="Title"/>
      </w:pPr>
      <w:r>
        <w:t>Subgroup Performance</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Improve Generalization</w:t>
      </w:r>
    </w:p>
    <w:p>
      <w:r>
        <w:t>Without opening the old lesson, explain one key idea from Improve Generalization.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Learning Curves</w:t>
      </w:r>
    </w:p>
    <w:p>
      <w:r>
        <w:t>Without opening the old lesson, explain one key idea from Learning Curves.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Metrics Match Consequences</w:t>
      </w:r>
    </w:p>
    <w:p>
      <w:r>
        <w:t>Without opening the old lesson, explain one key idea from Metrics Match Consequences.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Check sensitivity for Subgroup evaluation.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Subgroup evaluation. Proposed explanation: “A final answer is enough”.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independently</w:t>
      </w:r>
    </w:p>
    <w:p>
      <w:r>
        <w:t>Groups X 1 error/10 and Y 2/4: calculate separate and pooled rates, then state one limit.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Device A gets 18/20 correct; B gets 6/10. Compute overall accuracy and the subgroup gap. What causal claim is not supported?</w:t>
      </w:r>
    </w:p>
    <w:p>
      <w:pPr>
        <w:pStyle w:val="Heading1"/>
      </w:pPr>
      <w:r>
        <w:t>06. Solve the given case</w:t>
      </w:r>
    </w:p>
    <w:p>
      <w:r>
        <w:t>A has18/20 correct; B has6/10.</w:t>
      </w:r>
    </w:p>
    <w:p>
      <w:r>
        <w:t>Compute subgroup results and evidence limits.</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Accuracy is 18/20 in bright light and 6/10 in dim light. Compute both rates and the percentage-point gap.</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31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Add subgroup tables and a minimum acceptable threshold to the Plant Classifier release criteria.</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Device A gets 18/20 correct; B gets 6/10. Compute overall accuracy and the subgroup gap. What causal claim is not supported?</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Calculate group rates</w:t>
      </w:r>
    </w:p>
    <w:p>
      <w:r>
        <w:t>Calculate the worked group and pooled rates.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Check sensitivity</w:t>
      </w:r>
    </w:p>
    <w:p>
      <w:r>
        <w:t>How does correcting one B error affect its rate?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Report missing coverage</w:t>
      </w:r>
    </w:p>
    <w:p>
      <w:r>
        <w:t>Group C has no evaluated cases. What is its measured error rate?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independently</w:t>
      </w:r>
    </w:p>
    <w:p>
      <w:r>
        <w:t>Groups X 1 error/10 and Y 2/4: calculate separate and pooled rates, then state one limit.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Avoid a fairness shortcut</w:t>
      </w:r>
    </w:p>
    <w:p>
      <w:r>
        <w:t>Why does equal accuracy not settle whether use is fair?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Subgroup Performance</w:t>
      </w:r>
    </w:p>
    <w:p>
      <w:r>
        <w:t>Calculate subgroup and pooled error rates without letting the larger group hide a gap.</w:t>
      </w:r>
    </w:p>
    <w:p>
      <w:r>
        <w:t>Group Sun: 2 errors in20 photos; Shade: 3 errors in5. Same error definition; related plant views are documented.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131457"/>
            <wp:docPr id="1" name="Picture 1" descr="Subgroup error rates"/>
            <wp:cNvGraphicFramePr>
              <a:graphicFrameLocks noChangeAspect="1"/>
            </wp:cNvGraphicFramePr>
            <a:graphic>
              <a:graphicData uri="http://schemas.openxmlformats.org/drawingml/2006/picture">
                <pic:pic>
                  <pic:nvPicPr>
                    <pic:cNvPr id="0" name="academy-detail-ai-4-31.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Subgroup Performance. Sun rate: Sun error=2/20=10%.. Shade rate: Shade error=3/5=60%.. Pooled rate: Total error=5/25=20%, which hides the 50-percentage-point subgroup difference."/>
            <wp:cNvGraphicFramePr>
              <a:graphicFrameLocks noChangeAspect="1"/>
            </wp:cNvGraphicFramePr>
            <a:graphic>
              <a:graphicData uri="http://schemas.openxmlformats.org/drawingml/2006/picture">
                <pic:pic>
                  <pic:nvPicPr>
                    <pic:cNvPr id="0" name="academy-visual-ai-4-31.png"/>
                    <pic:cNvPicPr/>
                  </pic:nvPicPr>
                  <pic:blipFill>
                    <a:blip r:embed="rId10"/>
                    <a:stretch>
                      <a:fillRect/>
                    </a:stretch>
                  </pic:blipFill>
                  <pic:spPr>
                    <a:xfrm>
                      <a:off x="0" y="0"/>
                      <a:ext cx="5486400" cy="5185229"/>
                    </a:xfrm>
                    <a:prstGeom prst="rect"/>
                  </pic:spPr>
                </pic:pic>
              </a:graphicData>
            </a:graphic>
          </wp:inline>
        </w:drawing>
      </w:r>
    </w:p>
    <w:p>
      <w:r>
        <w:t>Why should the report retain subgroup rates alongside the total?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Responsible Plant Classifier</w:t>
      </w:r>
    </w:p>
    <w:p>
      <w:r>
        <w:t>Current milestone: Present and defend. Demonstrate the system, explain one failure and justify the next improvement with evidence.</w:t>
      </w:r>
    </w:p>
    <w:p>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