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ai-5/17</w:t>
      </w:r>
    </w:p>
    <w:p>
      <w:pPr>
        <w:pStyle w:val="Title"/>
      </w:pPr>
      <w:r>
        <w:t>Initialisation and reproducibility</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Regularisation and early stopping</w:t>
      </w:r>
    </w:p>
    <w:p>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Updating parameters</w:t>
      </w:r>
    </w:p>
    <w:p>
      <w: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Distinguish equality of loss and parameters for Initialisation and reproducibility.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Initialisation and reproducibility. Proposed explanation: “The same seed specifies the entire experiment”.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starting-value experiment independently</w:t>
      </w:r>
    </w:p>
    <w:p>
      <w:r>
        <w:t>Use J(a) = (a - 3) squared, gradient 2(a - 3), rate 0.25 and two updates. Restart from a = 1, then restart from a = 5. Calculate both traces and final losses. Explain what can be concluded about these two runs.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a fresh starting value</w:t>
      </w:r>
    </w:p>
    <w:p>
      <w:r>
        <w:t>For the scalar lesson model, start v = -2 and apply two updates at rate 0.1. Give all three v values and the final training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Distinguish equality of loss and parameters</w:t>
      </w:r>
    </w:p>
    <w:p>
      <w:r>
        <w:t>The lesson runs starting at 1 and 3 finish with the same training MSE. Give their final v values and explain the equality without calling the models identical.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a seed claim</w:t>
      </w:r>
    </w:p>
    <w:p>
      <w:r>
        <w:t>Both runs use the same seed and generator. Run A assigns the first four draws to its weights. Run B draws a preview number first, then assigns the next four. Must the initial weight arrays match? What should be saved?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the starting-value experiment independently</w:t>
      </w:r>
    </w:p>
    <w:p>
      <w:r>
        <w:t>Use J(a) = (a - 3) squared, gradient 2(a - 3), rate 0.25 and two updates. Restart from a = 1, then restart from a = 5. Calculate both traces and final losses. Explain what can be concluded about these two runs.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Test repeated correctness</w:t>
      </w:r>
    </w:p>
    <w:p>
      <w:r>
        <w:t>A forward-pass program returns the same wrong answer every run with a fixed seed. Has repeatability verified the implementation? Name two stronger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initialisation and reproducibility evidence sheet to Image-pattern Network Investigation. Show how you can trace how starting values affect a fixed training budget.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Initialisation and reproducibility</w:t>
      </w:r>
    </w:p>
    <w:p>
      <w:r>
        <w:t>Reproduce two training traces by saving their distinct initial values.</w:t>
      </w:r>
    </w:p>
    <w:p>
      <w:r>
        <w:t>LossJ(a)=(a-2)²; gradient 2(a-2); rate 0.25; two updates. Restart from a = 0 and separately a =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r>
        <w:t>Does the matching final loss mean the parameter values are equal?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Test changed cases. Keep normal, boundary and failure cases; compare expected and observed results.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