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ai-5/31</w:t>
      </w:r>
    </w:p>
    <w:p>
      <w:pPr>
        <w:pStyle w:val="Title"/>
      </w:pPr>
      <w:r>
        <w:t>Efficiency and resource measurement</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Dataset shift in neural models</w:t>
      </w:r>
    </w:p>
    <w:p>
      <w:r>
        <w:t>Without opening the old lesson, explain one key idea from Dataset shift in neural models.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learning</w:t>
      </w:r>
    </w:p>
    <w:p>
      <w:r>
        <w:t>Without opening the old lesson, explain one key idea from Transfer learning.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Sequence representations</w:t>
      </w:r>
    </w:p>
    <w:p>
      <w:r>
        <w:t>Without opening the old lesson, explain one key idea from Sequence representations.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Compare under requirements for Efficiency and resource measurement.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Efficiency and resource measurement. Proposed explanation: “Fewer parameters always means faster”.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Evaluate a new case independently</w:t>
      </w:r>
    </w:p>
    <w:p>
      <w:r>
        <w:t>For 50 shared validation cases, P has times 0.6, 0.5, 0.4 seconds and 47 correct; Q has 0.3, 0.4, 0.5 seconds and 45 correct. Require at least 92 percent accuracy and at most 12 ms amortised time. Give median times, amortised times, throughput, accuracy and eligible models. A separate dense network has dimensions 3 to 2 to 1 with one bias per output: find its parameter count and raw bytes at four bytes each.</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Summarise repeated timings</w:t>
      </w:r>
    </w:p>
    <w:p>
      <w:r>
        <w:t>For A and B, calculate median pass time, amortised milliseconds per example and median-pass throughput. State the measured boundary and one latency claim these numbers cannot support.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Compare under requirements</w:t>
      </w:r>
    </w:p>
    <w:p>
      <w:r>
        <w:t>With at least 91 correct out of 100 and at most 25 ms amortised time required, which model qualifies? Calculate B’s time reduction relative to A and explain why the percentage throughput increase differs.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Separate storage and memory</w:t>
      </w:r>
    </w:p>
    <w:p>
      <w:r>
        <w:t>Count weights, biases and total parameters in the 4 to 3 to 2 network. Calculate raw parameter bytes at four bytes each. Explain why this cannot be reported as peak training memory or an energy measurement.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Evaluate a new case independently</w:t>
      </w:r>
    </w:p>
    <w:p>
      <w:r>
        <w:t>For 50 shared validation cases, P has times 0.6, 0.5, 0.4 seconds and 47 correct; Q has 0.3, 0.4, 0.5 seconds and 45 correct. Require at least 92 percent accuracy and at most 12 ms amortised time. Give median times, amortised times, throughput, accuracy and eligible models. A separate dense network has dimensions 3 to 2 to 1 with one bias per output: find its parameter count and raw bytes at four bytes each.</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Repair an unfair benchmark</w:t>
      </w:r>
    </w:p>
    <w:p>
      <w:r>
        <w:t>A runs on one device with batch size 1; B runs on another with batch size 32. Only B’s fastest trial and the winning training run are reported. Explain how to compare and report the results fairly.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efficiency and resource measurement evidence sheet to Image-pattern Network Investigation. Show how you can calculate throughput and amortised time per example from repeated timings.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Efficiency and resource measurement</w:t>
      </w:r>
    </w:p>
    <w:p>
      <w:r>
        <w:t>Compare speed and quality under the same case count and acceptance contract.</w:t>
      </w:r>
    </w:p>
    <w:p>
      <w:r>
        <w:t>Both evaluate40 cases. P times [0.32, 0.40, 0.48]seconds, 38 correct; Q times [0.20, 0.24, 0.28]seconds, 36 correct. Requireaccuracy&gt;=93% and mean amortised time&lt;=12ms/case.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2641600"/>
            <wp:docPr id="1" name="Picture 1" descr="Mean amortised time, not single-request latency"/>
            <wp:cNvGraphicFramePr>
              <a:graphicFrameLocks noChangeAspect="1"/>
            </wp:cNvGraphicFramePr>
            <a:graphic>
              <a:graphicData uri="http://schemas.openxmlformats.org/drawingml/2006/picture">
                <pic:pic>
                  <pic:nvPicPr>
                    <pic:cNvPr id="0" name="academy-detail-ai-5-3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Efficiency and resource measurement. Summarise P: Mean time0.40s; 10ms/case; accuracy 38/40=95%: passesboth.. Summarise Q: Mean time0.24s; 6ms/case; accuracy 36/40=90%: failsquality.. Choose eligible candidate: P meets the declared contract; Q is faster but ineligible."/>
            <wp:cNvGraphicFramePr>
              <a:graphicFrameLocks noChangeAspect="1"/>
            </wp:cNvGraphicFramePr>
            <a:graphic>
              <a:graphicData uri="http://schemas.openxmlformats.org/drawingml/2006/picture">
                <pic:pic>
                  <pic:nvPicPr>
                    <pic:cNvPr id="0" name="academy-visual-ai-5-31.png"/>
                    <pic:cNvPicPr/>
                  </pic:nvPicPr>
                  <pic:blipFill>
                    <a:blip r:embed="rId10"/>
                    <a:stretch>
                      <a:fillRect/>
                    </a:stretch>
                  </pic:blipFill>
                  <pic:spPr>
                    <a:xfrm>
                      <a:off x="0" y="0"/>
                      <a:ext cx="5486400" cy="5225143"/>
                    </a:xfrm>
                    <a:prstGeom prst="rect"/>
                  </pic:spPr>
                </pic:pic>
              </a:graphicData>
            </a:graphic>
          </wp:inline>
        </w:drawing>
      </w:r>
    </w:p>
    <w:p>
      <w:r>
        <w:t>Why is 10ms/case not necessarily a single-request latency?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Present and defend. Demonstrate the system, explain one failure and justify the next improvement with evidence.</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