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ai-5/34</w:t>
      </w:r>
    </w:p>
    <w:p>
      <w:pPr>
        <w:pStyle w:val="Title"/>
      </w:pPr>
      <w:r>
        <w:t>Capstone controlled experiments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hypothesis and baseline</w:t>
      </w:r>
    </w:p>
    <w:p>
      <w:r>
        <w:t>Without opening the old lesson, explain one key idea from Capstone hypothesis and baseline.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Efficiency and resource measurement</w:t>
      </w:r>
    </w:p>
    <w:p>
      <w:r>
        <w:t>Without opening the old lesson, explain one key idea from Efficiency and resource measurement.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learning</w:t>
      </w:r>
    </w:p>
    <w:p>
      <w:r>
        <w:t>Without opening the old lesson, explain one key idea from Transfer learning.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both runs for Capstone controlled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controlled experiments. Proposed explanation: “More runs mean more validation examples”.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Run a new comparison independently</w:t>
      </w:r>
    </w:p>
    <w:p>
      <w:r>
        <w:t>For training (1,3),(2,6) and validation (3,9),(4,12), start a = 1. Compare rates 0.1 and 0.2 for two updates. Gradient is 5*(a-3). Compute final weights and validation MSE, then select lower MSE; ties go to 0.1.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Name the controls</w:t>
      </w:r>
    </w:p>
    <w:p>
      <w:r>
        <w:t>List six settings held fixed and the single intended changed factor.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both runs</w:t>
      </w:r>
    </w:p>
    <w:p>
      <w:r>
        <w:t>Compute both updates for rates 0.1 and 0.2 using gradient 5*(a-2).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Select without extra evidence</w:t>
      </w:r>
    </w:p>
    <w:p>
      <w:r>
        <w:t>Recompute validation MSE for the final weights and apply the written selection rule. How many distinct validation rows were used?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Run a new comparison independently</w:t>
      </w:r>
    </w:p>
    <w:p>
      <w:r>
        <w:t>For training (1,3),(2,6) and validation (3,9),(4,12), start a = 1. Compare rates 0.1 and 0.2 for two updates. Gradient is 5*(a-3). Compute final weights and validation MSE, then select lower MSE; ties go to 0.1.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Audit a mixed comparison</w:t>
      </w:r>
    </w:p>
    <w:p>
      <w:r>
        <w:t>Run A uses rate 0.1 for two updates; run B uses rate 0.2 for six updates and different training rows. Can the difference be attributed to rate alone? Propose a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Image-pattern Network Investigation, use this week’s independent task as a rehearsal for the final evidence pack: For training (1,3),(2,6) and validation (3,9),(4,12), start a = 1. Compare rates 0.1 and 0.2 for two updates. Gradient is 5*(a-3). Compute final weights and validation MSE, then select lower MSE; ties go to 0.1.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controlled experiments</w:t>
      </w:r>
    </w:p>
    <w:p>
      <w:r>
        <w:t>One controlled network change. The capstone compares two fixed networks on the same six labelled toy patterns. Only one feature connection is added.</w:t>
      </w:r>
    </w:p>
    <w:p>
      <w:r>
        <w:t>A scores [1,1,0,1,0,1]; B scores [1,1,1,1,0,1]. Settings, labels and scoring remain fixed. Binary entries mean 1=correct and 0=incorrect.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Controlled toy-pattern 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Capstone controlled experiments. Identify the intervention: B adds the centre-feature connection; all other declared settings stay fixed.. Count outcomes: A is 4/6 correct; B is 5/6.. Inspect paired cases: Only case three changes correctness; case five fails for bo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Compute the two correct counts and identify the changed case. Why would changing B’s training data weaken the conclusion about its added connection?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Present and defend. Demonstrate the system, explain one failure and justify the next improvement with evidence.</w:t>
      </w:r>
    </w:p>
    <w:p>
      <w:r>
        <w:t>For the Image-pattern Network Investigation, save the labelled trace and the changed-case explanation beside the experiment record. State exactly what this example supports before linking it to the wider capstone claim.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