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ai-6/5</w:t>
      </w:r>
    </w:p>
    <w:p>
      <w:pPr>
        <w:pStyle w:val="Title"/>
      </w:pPr>
      <w:r>
        <w:t>Authentication and authorisation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Architecture and data flow</w:t>
      </w:r>
    </w:p>
    <w:p>
      <w:r>
        <w:t>Without opening the old lesson, explain one key idea from Architecture and data 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Authentication and authorisation.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Authentication and authorisation.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Actor roles are none, student, teacher; target is teacher guide. Decide each under the policy.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session submits role=teacher in request data and asks for a guide.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Successful authentication does not grant every resource or operation.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Actor roles are none, student, teacher; target is teacher guide. Decide each under the policy.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Authentication and authorisation</w:t>
      </w:r>
    </w:p>
    <w:p>
      <w:r>
        <w:t>A verified reader cannot edit. Jo logs in as a verified museum volunteer and asks to edit card C.</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r>
        <w:t>Explain why Jo’s valid volunteer login does not permit editing C. Which trusted role change allows the action, and why is a role written in the request insufficient?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