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ai-6/7</w:t>
      </w:r>
    </w:p>
    <w:p>
      <w:pPr>
        <w:pStyle w:val="Title"/>
      </w:pPr>
      <w:r>
        <w:t>Testing pure components</w:t>
      </w:r>
    </w:p>
    <w:p>
      <w:r>
        <w:t>Project: Grounded Learning Service</w:t>
      </w:r>
    </w:p>
    <w:p>
      <w:pPr>
        <w:pStyle w:val="Heading1"/>
      </w:pPr>
      <w:r>
        <w:t>01. Recall and choose your starting point</w:t>
      </w:r>
    </w:p>
    <w:p>
      <w:r>
        <w:t>Try the recall before opening notes. Then use a different colour or a labelled second line to correct your explanation.</w:t>
      </w:r>
    </w:p>
    <w:p>
      <w:pPr>
        <w:pStyle w:val="Heading3"/>
      </w:pPr>
      <w:r>
        <w:t>Least privilege and tool scopes</w:t>
      </w:r>
    </w:p>
    <w:p>
      <w:r>
        <w:t>Without opening the old lesson, explain one key idea from Least privilege and tool scopes.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Configuration and secrets</w:t>
      </w:r>
    </w:p>
    <w:p>
      <w:r>
        <w:t>Without opening the old lesson, explain one key idea from Configuration and secrets.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Requirements and service boundaries</w:t>
      </w:r>
    </w:p>
    <w:p>
      <w:r>
        <w:t>Without opening the old lesson, explain one key idea from Requirements and service boundaries.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Testing pure components.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Testing pure components.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Capacity 9 with used 0, 9, 10 and Boolean True. Give outcomes.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Capacity 12, used 5; capacity 12, used 12; capacity 12, used 13.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Passing unit cases for a pure function does not establish integration permissions or model-dependent behaviour.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Capacity 9 with used 0, 9, 10 and Boolean True. Give outcomes.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testing pure components evidence sheet to Grounded Learning Service. Show how you can explain the mechanism and terminology of testing pure components.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Testing pure components</w:t>
      </w:r>
    </w:p>
    <w:p>
      <w:r>
        <w:t>Test a room formatter alone. A pure function returns "Room " plus a supplied positive integer.</w:t>
      </w:r>
    </w:p>
    <w:p>
      <w:r>
        <w:t>Accepted inputs are positive integers. Expected outputs: 7→"Room 7"; 12→"Room 12".</w:t>
      </w:r>
    </w:p>
    <w:p>
      <w:r>
        <w:drawing>
          <wp:inline xmlns:a="http://schemas.openxmlformats.org/drawingml/2006/main" xmlns:pic="http://schemas.openxmlformats.org/drawingml/2006/picture">
            <wp:extent cx="5486400" cy="5145314"/>
            <wp:docPr id="1" name="Picture 1" descr="Testing pure components. Call with 7: The prefix and supplied numeral produce Room 7.. Compare exact text: The expected text includes one space before 7.. Call with 12: The same fixed procedure produces Room 12."/>
            <wp:cNvGraphicFramePr>
              <a:graphicFrameLocks noChangeAspect="1"/>
            </wp:cNvGraphicFramePr>
            <a:graphic>
              <a:graphicData uri="http://schemas.openxmlformats.org/drawingml/2006/picture">
                <pic:pic>
                  <pic:nvPicPr>
                    <pic:cNvPr id="0" name="academy-visual-ai-6-7.png"/>
                    <pic:cNvPicPr/>
                  </pic:nvPicPr>
                  <pic:blipFill>
                    <a:blip r:embed="rId9"/>
                    <a:stretch>
                      <a:fillRect/>
                    </a:stretch>
                  </pic:blipFill>
                  <pic:spPr>
                    <a:xfrm>
                      <a:off x="0" y="0"/>
                      <a:ext cx="5486400" cy="5145314"/>
                    </a:xfrm>
                    <a:prstGeom prst="rect"/>
                  </pic:spPr>
                </pic:pic>
              </a:graphicData>
            </a:graphic>
          </wp:inline>
        </w:drawing>
      </w:r>
    </w:p>
    <w:p>
      <w:r>
        <w:t>Predict the formatter outputs for 7 and 12, including spacing. Why does input 0 need rejection under this contract rather than an ordinary formatted response?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Grounded Learning Service, retain an annotated trace and the changed-case result. Name the contract or evidence that makes the deciding step valid, so another team can review it.</w:t>
      </w:r>
    </w:p>
    <w:p>
      <w:pPr>
        <w:pStyle w:val="Heading1"/>
      </w:pPr>
      <w:r>
        <w:t>13. Project portfolio milestone</w:t>
      </w:r>
    </w:p>
    <w:p>
      <w:r>
        <w:t>Project: Grounded Learning Service</w:t>
      </w:r>
    </w:p>
    <w:p>
      <w:r>
        <w:t>Current milestone: Make a transparent first version. Keep a trace of how one input becomes an output; explain the rule or learned component.</w:t>
      </w:r>
    </w:p>
    <w:p>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