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ai-6/10</w:t>
      </w:r>
    </w:p>
    <w:p>
      <w:pPr>
        <w:pStyle w:val="Title"/>
      </w:pPr>
      <w:r>
        <w:t>Evaluation pipelines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Integration tests and fixtures</w:t>
      </w:r>
    </w:p>
    <w:p>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pure components</w:t>
      </w:r>
    </w:p>
    <w:p>
      <w:r>
        <w:t>Without opening the old lesson, explain one key idea from Testing pure components.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Configuration and secrets</w:t>
      </w:r>
    </w:p>
    <w:p>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Evaluation pipelines.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Evaluation pipelines.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Eight planned cases, six complete, five pass, one fail. Give observed pass rate and coverage.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Six cases are planned; five run, four pass and one fails. One is skipped.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Missing evaluations can bias results; neither completion rate nor pass rate should hide the other.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Eight planned cases, six complete, five pass, one fail. Give observed pass rate and coverage.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evaluation pipelines evidence sheet to Grounded Learning Service. Show how you can explain the mechanism and terminology of evaluation pipelines.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Evaluation pipelines</w:t>
      </w:r>
    </w:p>
    <w:p>
      <w:r>
        <w:t>Four cases through a scoring pipeline. Two fixed versions answer the same four questions with frozen correct-or-incorrect labels.</w:t>
      </w:r>
    </w:p>
    <w:p>
      <w: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r>
        <w:t>Calculate A’s and B’s correct rates on all four cases. Identify their shared failure and explain why removing that case after scoring changes the honesty of the comparison.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Make a transparent first version. Keep a trace of how one input becomes an output; explain the rule or learned component.</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