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ai-6/17</w:t>
      </w:r>
    </w:p>
    <w:p>
      <w:pPr>
        <w:pStyle w:val="Title"/>
      </w:pPr>
      <w:r>
        <w:t>External side effects and recovery</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Timeouts retries and cancellation</w:t>
      </w:r>
    </w:p>
    <w:p>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Planning and action selection</w:t>
      </w:r>
    </w:p>
    <w:p>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Failure budgets and service objectives</w:t>
      </w:r>
    </w:p>
    <w:p>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External side effects and recovery.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External side effects and recovery.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payment-like classroom token transfer has unknown status after network loss. Should the mock repeat immediately?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booking is committed in storage, but response delivery times out. Caller asks to repeat.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compensating action is itself a side effect requiring authority; recovery does not silently permit deletion or refund.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payment-like classroom token transfer has unknown status after network loss. Should the mock repeat immediately?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external side effects and recovery evidence sheet to Grounded Learning Service. Show how you can explain the mechanism and terminology of external side effects and recovery.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External side effects and recovery</w:t>
      </w:r>
    </w:p>
    <w:p>
      <w:r>
        <w:t>Recover an uncertain print job. A badge printer loses its reply after receiving a print request.</w:t>
      </w:r>
    </w:p>
    <w:p>
      <w:r>
        <w:t>Job key J6 identifies one badge. The printer supports status lookup by key; missing acknowledgement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r>
        <w:t>Distinguish a missing printer acknowledgement from confirmed failure. What should happen if J6 is complete, and what evidence changes when J6 is reliably reported absent?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