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ai-6/18</w:t>
      </w:r>
    </w:p>
    <w:p>
      <w:pPr>
        <w:pStyle w:val="Title"/>
      </w:pPr>
      <w:r>
        <w:t>Untrusted input boundaries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Untrusted input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Inputs A1 and delete_all() are supplied to room lookup.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format check does not grant resource access; authorisation follows separately.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Classify B2, b2, B22 and B2; DROP under the exact format.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Untrusted input boundaries</w:t>
      </w:r>
    </w:p>
    <w:p>
      <w:r>
        <w:t>Check shape before permission. A toy tool accepts exactly one ASCII lowercase letter followed by one digit, with no trimming.</w:t>
      </w:r>
    </w:p>
    <w:p>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r>
        <w:t>Classify h3, H3, h30 and the trailing-space input by the stated shape contract. Does a valid z0 grant record access, and which separate gate still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