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ai-6/20</w:t>
      </w:r>
    </w:p>
    <w:p>
      <w:pPr>
        <w:pStyle w:val="Title"/>
      </w:pPr>
      <w:r>
        <w:t>Data retention and deletion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 retention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Fictional retention policy deletes records at age &gt;=4 days. X is3 days, Y4, Z5. A copy of Y remains in a temporary log after its main record is deleted. Evaluate compliance.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Retention is5 days, inclusive deletion boundary.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 retention and deletion</w:t>
      </w:r>
    </w:p>
    <w:p>
      <w:r>
        <w:t>Delete every listed copy. A fictional policy deletes transcripts at age seven days or older, including listed backups.</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r>
        <w:t>Apply the seven-day boundary to T1 and T2. How many T2 locations need verification, and may deletion be called complete if its backup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