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ai-6/25</w:t>
      </w:r>
    </w:p>
    <w:p>
      <w:pPr>
        <w:pStyle w:val="Title"/>
      </w:pPr>
      <w:r>
        <w:t>Monitoring quality drift</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Release and rollback</w:t>
      </w:r>
    </w:p>
    <w:p>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Queues and asynchronous work</w:t>
      </w:r>
    </w:p>
    <w:p>
      <w:r>
        <w:t>Without opening the old lesson, explain one key idea from Queues and asynchronous 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Sandboxing and resource limits</w:t>
      </w:r>
    </w:p>
    <w:p>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Monitoring quality drift.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Monitoring quality drift.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Window A passes8/10; B passes12/20. Threshold70%.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Reference window passes18/20; new window14/20.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An alert identifies a condition for investigation, not a complete causal explanation.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Window A passes8/10; B passes12/20. Threshold70%.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monitoring quality drift evidence sheet to Grounded Learning Service. Show how you can explain the mechanism and terminology of monitoring quality drift.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Monitoring quality drift</w:t>
      </w:r>
    </w:p>
    <w:p>
      <w:r>
        <w:t>Monitor separate question slices. A service uses the same rubric on clear and ambiguous questions in two recorded weeks.</w:t>
      </w:r>
    </w:p>
    <w:p>
      <w:r>
        <w:t>A: clear 18/20, ambiguous 8/10. B: clear 19/20, ambiguous 4/10.</w:t>
      </w:r>
    </w:p>
    <w:p>
      <w:r>
        <w:drawing>
          <wp:inline xmlns:a="http://schemas.openxmlformats.org/drawingml/2006/main" xmlns:pic="http://schemas.openxmlformats.org/drawingml/2006/picture">
            <wp:extent cx="5486400" cy="3077029"/>
            <wp:docPr id="1" name="Picture 1"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0"/>
                    <a:stretch>
                      <a:fillRect/>
                    </a:stretch>
                  </pic:blipFill>
                  <pic:spPr>
                    <a:xfrm>
                      <a:off x="0" y="0"/>
                      <a:ext cx="5486400" cy="5145314"/>
                    </a:xfrm>
                    <a:prstGeom prst="rect"/>
                  </pic:spPr>
                </pic:pic>
              </a:graphicData>
            </a:graphic>
          </wp:inline>
        </w:drawing>
      </w:r>
    </w:p>
    <w:p>
      <w:r>
        <w:t>Compute both clear and ambiguous slice rates for A and B. Which slice weakens, and how should that slice be reported when no ambiguous questions are observed?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