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ai-6/26</w:t>
      </w:r>
    </w:p>
    <w:p>
      <w:pPr>
        <w:pStyle w:val="Title"/>
      </w:pPr>
      <w:r>
        <w:t>Incident investigation</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Monitoring quality drift</w:t>
      </w:r>
    </w:p>
    <w:p>
      <w:r>
        <w:t>Without opening the old lesson, explain one key idea from Monitoring quality drift.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Deployment environments</w:t>
      </w:r>
    </w:p>
    <w:p>
      <w:r>
        <w:t>Without opening the old lesson, explain one key idea from Deployment environments.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Data retention and deletion</w:t>
      </w:r>
    </w:p>
    <w:p>
      <w:r>
        <w:t>Without opening the old lesson, explain one key idea from Data retention and deletion.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Incident investigation.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Incident investigation.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10:00 permissions config changes; 10:03 restricted read; model version unchanged. Name a plausible cause and one test.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At09:00 corpus updates; 09:05 stale cache response; 09:06 cache disabled. Team says model weights changed, but weight version is unchanged.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plausible narrative needs controlled or record-based confirmation and must preserve unknowns.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10:00 permissions config changes; 10:03 restricted read; model version unchanged. Name a plausible cause and one test.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incident investigation evidence sheet to Grounded Learning Service. Show how you can explain the mechanism and terminology of incident investigation.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Incident investigation</w:t>
      </w:r>
    </w:p>
    <w:p>
      <w:r>
        <w:t>An incident timeline. After a schedule update, a service gives an old classroom location.</w:t>
      </w:r>
    </w:p>
    <w:p>
      <w:r>
        <w:t>14:00 version 6 publishes room D; 14:05 answer uses version 5 room C; 14:06 user reports mismatch.</w:t>
      </w:r>
    </w:p>
    <w:p>
      <w:r>
        <w:drawing>
          <wp:inline xmlns:a="http://schemas.openxmlformats.org/drawingml/2006/main" xmlns:pic="http://schemas.openxmlformats.org/drawingml/2006/picture">
            <wp:extent cx="5486400" cy="5225143"/>
            <wp:docPr id="1" name="Picture 1" descr="Incident investigation. Order events: The new source predates the request and report.. Locate stale evidence: The answer trace identifies version 5 rather than current version 6.. Test explanation: Reproduce version selection with controlled fixtures before naming the exact bug."/>
            <wp:cNvGraphicFramePr>
              <a:graphicFrameLocks noChangeAspect="1"/>
            </wp:cNvGraphicFramePr>
            <a:graphic>
              <a:graphicData uri="http://schemas.openxmlformats.org/drawingml/2006/picture">
                <pic:pic>
                  <pic:nvPicPr>
                    <pic:cNvPr id="0" name="academy-visual-ai-6-26.png"/>
                    <pic:cNvPicPr/>
                  </pic:nvPicPr>
                  <pic:blipFill>
                    <a:blip r:embed="rId9"/>
                    <a:stretch>
                      <a:fillRect/>
                    </a:stretch>
                  </pic:blipFill>
                  <pic:spPr>
                    <a:xfrm>
                      <a:off x="0" y="0"/>
                      <a:ext cx="5486400" cy="5225143"/>
                    </a:xfrm>
                    <a:prstGeom prst="rect"/>
                  </pic:spPr>
                </pic:pic>
              </a:graphicData>
            </a:graphic>
          </wp:inline>
        </w:drawing>
      </w:r>
    </w:p>
    <w:p>
      <w:r>
        <w:t>Order the three incident records and locate the old evidence version. How does the investigation change if the trace instead retrieves version 6 but drafts room C?</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p>
      <w:pPr>
        <w:pStyle w:val="Heading1"/>
      </w:pPr>
      <w:r>
        <w:t>13. Project portfolio milestone</w:t>
      </w:r>
    </w:p>
    <w:p>
      <w:r>
        <w:t>Project: Grounded Learning Service</w:t>
      </w:r>
    </w:p>
    <w:p>
      <w:r>
        <w:t>Current milestone: Prepare the demonstration. Gather reproducible instructions, evidence, access checks and remaining limitations.</w:t>
      </w:r>
    </w:p>
    <w:p>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