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ai-6/27</w:t>
      </w:r>
    </w:p>
    <w:p>
      <w:pPr>
        <w:pStyle w:val="Title"/>
      </w:pPr>
      <w:r>
        <w:t>Human escalation workflows</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Incident investigation</w:t>
      </w:r>
    </w:p>
    <w:p>
      <w:r>
        <w:t>Without opening the old lesson, explain one key idea from Incident investigation.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Release and rollback</w:t>
      </w:r>
    </w:p>
    <w:p>
      <w:r>
        <w:t>Without opening the old lesson, explain one key idea from Release and rollback.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Caching and stale information</w:t>
      </w:r>
    </w:p>
    <w:p>
      <w:r>
        <w:t>Without opening the old lesson, explain one key idea from Caching and stale information.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Human escalation workflows.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Human escalation workflows.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Reviewer deadline is16:00; no reply by16:00. Policy says remain pending, not auto-approve. Decide.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Conflict is detected, but no reviewer is assigned and the system silently books the first room.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Escalation without a responsible actor and declared fallback cannot guarantee resolution.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Reviewer deadline is16:00; no reply by16:00. Policy says remain pending, not auto-approve. Decide.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human escalation workflows evidence sheet to Grounded Learning Service. Show how you can explain the mechanism and terminology of human escalation workflows.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Human escalation workflows</w:t>
      </w:r>
    </w:p>
    <w:p>
      <w:r>
        <w:t>A useful human handoff. A learner asks whether a damaged laboratory bottle is safe; the bot handles lesson notes only.</w:t>
      </w:r>
    </w:p>
    <w:p>
      <w:r>
        <w:t>The contract excludes equipment certification. An assigned adult supervisor handles equipment concerns.</w:t>
      </w:r>
    </w:p>
    <w:p>
      <w:r>
        <w:drawing>
          <wp:inline xmlns:a="http://schemas.openxmlformats.org/drawingml/2006/main" xmlns:pic="http://schemas.openxmlformats.org/drawingml/2006/picture">
            <wp:extent cx="5486400" cy="5261429"/>
            <wp:docPr id="1" name="Picture 1" descr="Human escalation workflows. Recognise boundary: The requested judgement is outside this service’s authority.. Route the question: Give the designated supervisor route without inventing a verdict.. Preserve reported facts: Record the concern as reported, not as a confirmed diagnosis."/>
            <wp:cNvGraphicFramePr>
              <a:graphicFrameLocks noChangeAspect="1"/>
            </wp:cNvGraphicFramePr>
            <a:graphic>
              <a:graphicData uri="http://schemas.openxmlformats.org/drawingml/2006/picture">
                <pic:pic>
                  <pic:nvPicPr>
                    <pic:cNvPr id="0" name="academy-visual-ai-6-27.png"/>
                    <pic:cNvPicPr/>
                  </pic:nvPicPr>
                  <pic:blipFill>
                    <a:blip r:embed="rId9"/>
                    <a:stretch>
                      <a:fillRect/>
                    </a:stretch>
                  </pic:blipFill>
                  <pic:spPr>
                    <a:xfrm>
                      <a:off x="0" y="0"/>
                      <a:ext cx="5486400" cy="5261429"/>
                    </a:xfrm>
                    <a:prstGeom prst="rect"/>
                  </pic:spPr>
                </pic:pic>
              </a:graphicData>
            </a:graphic>
          </wp:inline>
        </w:drawing>
      </w:r>
    </w:p>
    <w:p>
      <w:r>
        <w:t>Identify the exact service boundary in the bottle question. What accurate information belongs in the supervisor handoff, and what remains unresolved if nobody is reachable?</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p>
      <w:pPr>
        <w:pStyle w:val="Heading1"/>
      </w:pPr>
      <w:r>
        <w:t>13. Project portfolio milestone</w:t>
      </w:r>
    </w:p>
    <w:p>
      <w:r>
        <w:t>Project: Grounded Learning Service</w:t>
      </w:r>
    </w:p>
    <w:p>
      <w:r>
        <w:t>Current milestone: Prepare the demonstration. Gather reproducible instructions, evidence, access checks and remaining limitations.</w:t>
      </w:r>
    </w:p>
    <w:p>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