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ai-6/28</w:t>
      </w:r>
    </w:p>
    <w:p>
      <w:pPr>
        <w:pStyle w:val="Title"/>
      </w:pPr>
      <w:r>
        <w:t>Accessibility and user feedback</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Human escalation workflows</w:t>
      </w:r>
    </w:p>
    <w:p>
      <w:r>
        <w:t>Without opening the old lesson, explain one key idea from Human escalation workflows.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Monitoring quality drift</w:t>
      </w:r>
    </w:p>
    <w:p>
      <w:r>
        <w:t>Without opening the old lesson, explain one key idea from Monitoring quality drift.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Queues and asynchronous work</w:t>
      </w:r>
    </w:p>
    <w:p>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Accessibility and user feedback.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Accessibility and user feedback.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Submit is mouse-only; timeout replaces the entire form and loses input. Propose two concrete improvements.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An invalid room is marked only by a red border; no text error or associated label is provided.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Accessibility requirements need real interaction checks and appropriate user feedback; a checklist alone is incomplete.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Submit is mouse-only; timeout replaces the entire form and loses input. Propose two concrete improvements.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accessibility and user feedback evidence sheet to Grounded Learning Service. Show how you can explain the mechanism and terminology of accessibility and user feedback.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Accessibility and user feedback</w:t>
      </w:r>
    </w:p>
    <w:p>
      <w:r>
        <w:t>Make feedback accessible. An app marks an incomplete answer with a red circle only; a revision adds equivalent text and keyboard access.</w:t>
      </w:r>
    </w:p>
    <w:p>
      <w:r>
        <w:t>New text: "More explanation needed". The next-action link is labelled and focusable; status is exposed to assistive technology.</w:t>
      </w:r>
    </w:p>
    <w:p>
      <w:r>
        <w:drawing>
          <wp:inline xmlns:a="http://schemas.openxmlformats.org/drawingml/2006/main" xmlns:pic="http://schemas.openxmlformats.org/drawingml/2006/picture">
            <wp:extent cx="5486400" cy="5185229"/>
            <wp:docPr id="1" name="Picture 1"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9"/>
                    <a:stretch>
                      <a:fillRect/>
                    </a:stretch>
                  </pic:blipFill>
                  <pic:spPr>
                    <a:xfrm>
                      <a:off x="0" y="0"/>
                      <a:ext cx="5486400" cy="5185229"/>
                    </a:xfrm>
                    <a:prstGeom prst="rect"/>
                  </pic:spPr>
                </pic:pic>
              </a:graphicData>
            </a:graphic>
          </wp:inline>
        </w:drawing>
      </w:r>
    </w:p>
    <w:p>
      <w:r>
        <w:t>Explain what each text, keyboard and assistive-technology change adds to the feedback. Why does changing the red circle to orange alone not solve the communication barrier?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