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ai-6/32</w:t>
      </w:r>
    </w:p>
    <w:p>
      <w:pPr>
        <w:pStyle w:val="Title"/>
      </w:pPr>
      <w:r>
        <w:t>Documentation and operational readiness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Red team exercises</w:t>
      </w:r>
    </w:p>
    <w:p>
      <w:r>
        <w:t>Without opening the old lesson, explain one key idea from Red team exercises.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Performance and cost experiments</w:t>
      </w:r>
    </w:p>
    <w:p>
      <w:r>
        <w:t>Without opening the old lesson, explain one key idea from Performance and cost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Incident investigation</w:t>
      </w:r>
    </w:p>
    <w:p>
      <w:r>
        <w:t>Without opening the old lesson, explain one key idea from Incident investigation.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Documentation and operational readiness.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Documentation and operational readiness.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Documentation includes all setup steps but no incident owner or compatible rollback. Identify readiness gaps.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Runbook says start server, but omits data version and recovery steps. Another operator cannot reproduce a result.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Documentation readiness requires a tested replay and operational ownership, not merely complete-looking prose.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Documentation includes all setup steps but no incident owner or compatible rollback. Identify readiness gaps.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documentation and operational readiness evidence sheet to Grounded Learning Service. Show how you can explain the mechanism and terminology of documentation and operational readiness.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Documentation and operational readiness</w:t>
      </w:r>
    </w:p>
    <w:p>
      <w:r>
        <w:t>A runbook with an owner. Another teacher must handle SOURCE_UNAVAILABLE without inventing an answer.</w:t>
      </w:r>
    </w:p>
    <w:p>
      <w:r>
        <w:t>The runbook names a maintainer and a read-only source-connection diagnostic. The code means no supported answer can be produced.</w:t>
      </w:r>
    </w:p>
    <w:p>
      <w:r>
        <w:drawing>
          <wp:inline xmlns:a="http://schemas.openxmlformats.org/drawingml/2006/main" xmlns:pic="http://schemas.openxmlformats.org/drawingml/2006/picture">
            <wp:extent cx="5486400" cy="5225143"/>
            <wp:docPr id="1" name="Picture 1" descr="Documentation and operational readiness. Match symptom: Identify the documented unavailable-source condition.. Run safe check: Inspect the approved connection without broadening permissions.. Escalate clearly: Contact the named maintainer and retain unresolved status."/>
            <wp:cNvGraphicFramePr>
              <a:graphicFrameLocks noChangeAspect="1"/>
            </wp:cNvGraphicFramePr>
            <a:graphic>
              <a:graphicData uri="http://schemas.openxmlformats.org/drawingml/2006/picture">
                <pic:pic>
                  <pic:nvPicPr>
                    <pic:cNvPr id="0" name="academy-visual-ai-6-32.png"/>
                    <pic:cNvPicPr/>
                  </pic:nvPicPr>
                  <pic:blipFill>
                    <a:blip r:embed="rId9"/>
                    <a:stretch>
                      <a:fillRect/>
                    </a:stretch>
                  </pic:blipFill>
                  <pic:spPr>
                    <a:xfrm>
                      <a:off x="0" y="0"/>
                      <a:ext cx="5486400" cy="5225143"/>
                    </a:xfrm>
                    <a:prstGeom prst="rect"/>
                  </pic:spPr>
                </pic:pic>
              </a:graphicData>
            </a:graphic>
          </wp:inline>
        </w:drawing>
      </w:r>
    </w:p>
    <w:p>
      <w:r>
        <w:t>Match SOURCE_UNAVAILABLE to its safe check and escalation owner. What is lost when the maintainer route is removed, even if the diagnostic instructions stay readable?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Present and defend. Demonstrate the system, explain one failure and justify the next improvement with evidence.</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