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ai-6/34</w:t>
      </w:r>
    </w:p>
    <w:p>
      <w:pPr>
        <w:pStyle w:val="Title"/>
      </w:pPr>
      <w:r>
        <w:t>Capstone failure testing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service implementation</w:t>
      </w:r>
    </w:p>
    <w:p>
      <w: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Red team exercises</w:t>
      </w:r>
    </w:p>
    <w:p>
      <w:r>
        <w:t>Without opening the old lesson, explain one key idea from Red team exercises.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Accessibility and user feedback</w:t>
      </w:r>
    </w:p>
    <w:p>
      <w: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failure testing.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failure testing.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Four cases: malformed request, student teacher-guide request, missing register, valid current record. Two deny, one reviews, one supports; no restricted reads occur.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case passes only all its declared response and trace requirements, not merely a convenient status code.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Six cases: five expected outcomes pass; one denied request still performs restricted lookup. Compute case pass rate and release implication.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failure testing</w:t>
      </w:r>
    </w:p>
    <w:p>
      <w:r>
        <w:t>Inject one component failure. A capstone test blocks model drafting after a successful approved-card retrieval.</w:t>
      </w:r>
    </w:p>
    <w:p>
      <w:r>
        <w:t>F4 records club time 15:00. The contract permits a checked fixed-template answer when drafting is unavailable.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apstone failure testing. Verify source: Retrieval supplies F4 and the time 15:00.. Inject failure: Disable drafting without changing source evidence..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retrieval success permits the checked 15:00 fallback when drafting fails. What changes if retrieval fails too, and why can a template not fill that evidence gap?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Project: Grounded Learning Service</w:t>
      </w:r>
    </w:p>
    <w:p>
      <w:r>
        <w:t>Current milestone: Present and defend. Demonstrate the system, explain one failure and justify the next improvement with evidence.</w:t>
      </w:r>
    </w:p>
    <w:p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