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ai-7/2</w:t>
      </w:r>
    </w:p>
    <w:p>
      <w:pPr>
        <w:pStyle w:val="Title"/>
      </w:pPr>
      <w:r>
        <w:t>Reading a research claim</w:t>
      </w:r>
    </w:p>
    <w:p>
      <w:r>
        <w:t>Project: Reproducible AI Research Study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A question that evidence can answer</w:t>
      </w:r>
    </w:p>
    <w:p>
      <w:r>
        <w:t>Without opening the old lesson, explain one key idea from A question that evidence can answer.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Reading a research claim.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Reading a research claim.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a new case independently</w:t>
      </w:r>
    </w:p>
    <w:p>
      <w:r>
        <w:t>Report claims universal speed after median2 seconds versus3 on four local fixtures. Audit scope.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A fictional report says method B is better after6/8 supported answers versus baseline5/8 on the same constructed cases.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 report omits this qualification: A numerical improvement can be real in the sample while the broader claim remains unsupported.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Report claims universal speed after median2 seconds versus3 on four local fixtures. Audit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Add a labelled reading a research claim evidence sheet to Reproducible AI Research Study. Show how you can explain the mechanism and terminology of reading a research claim. Use the supplied fictional case and keep its inputs, intermediate steps, calculation or prediction,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Reading a research claim</w:t>
      </w:r>
    </w:p>
    <w:p>
      <w:r>
        <w:t>Read a claim with its denominator. A fictional paper headline says a prompt is twice as effective. Its table reports four correct cases instead of two.</w:t>
      </w:r>
    </w:p>
    <w:p>
      <w:r>
        <w:t>Baseline: 2/10 correct. New prompt: 4/10 on the same ten cases. Scoring is fixed.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1" name="Picture 1" descr="Correctness on ten shared cas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61429"/>
            <wp:docPr id="2" name="Picture 2" descr="Reading a research claim. Find the measured outcome: The table counts correct answers, not learning or satisfaction.. Calculate both changes: 20%→40% is twice the rate and a 20-percentage-point increase.. Check claim scope: These ten cases support a descriptive comparison, not universal doubl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Calculate the baseline and new rates for 2/10 and 4/10. Explain both twice the rate and the percentage-point change, and say why neither measures every learner’s improvement.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pStyle w:val="Heading1"/>
      </w:pPr>
      <w:r>
        <w:t>13. Project portfolio milestone</w:t>
      </w:r>
    </w:p>
    <w:p>
      <w:r>
        <w:t>Project: Reproducible AI Research Study</w:t>
      </w:r>
    </w:p>
    <w:p>
      <w:r>
        <w:t>Current milestone: Frame the need. Name the user, the problem, allowed inputs and a safe simple starting method.</w:t>
      </w:r>
    </w:p>
    <w:p>
      <w:r>
        <w:t>For the Reproducible AI Research Study, retain an annotated worked trace and the changed-case reasoning. Connect the claim to its records, units and assumptions so another investigator can challenge or reproduce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