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ai-7/6</w:t>
      </w:r>
    </w:p>
    <w:p>
      <w:pPr>
        <w:pStyle w:val="Title"/>
      </w:pPr>
      <w:r>
        <w:t>A literature comparison matrix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Replication and reproduction</w:t>
      </w:r>
    </w:p>
    <w:p>
      <w:r>
        <w:t>Without opening the old lesson, explain one key idea from Replication and reproduction.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Finding primary research</w:t>
      </w:r>
    </w:p>
    <w:p>
      <w:r>
        <w:t>Without opening the old lesson, explain one key idea from Finding primary research.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A literature comparison matrix.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literature comparison matrix.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 has recall@5 .8; B has precision@3 .9 on another corpus. Can you rank them?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Study A reports accuracy90% on easy classification; B reports claim support80% on difficult generated answers.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matrix documents comparison limits; it does not create missing common evidence.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 has recall@5 .8; B has precision@3 .9 on another corpus. Can you rank them?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a literature comparison matrix evidence sheet to Reproducible AI Research Study. Show how you can explain the mechanism and terminology of a literature comparison matrix.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 literature comparison matrix</w:t>
      </w:r>
    </w:p>
    <w:p>
      <w:r>
        <w:t>A literature matrix that preserves differences. Two fictional studies evaluate related tools under different conditions.</w:t>
      </w:r>
    </w:p>
    <w:p>
      <w:r>
        <w:t>Study S1: 8/10 correct on indoor photos. S2: 16/20 on outdoor photos. Both report 80%.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rate, different study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A literature comparison matrix. Record each method: Keep population, task, model version and scoring in separate columns.. Compare rates carefully: Both rates are 80%, with different denominators and conditions..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8/10 indoors and 16/20 outdoors share a rate but not a controlled comparison. Which condition column must the literature matrix preserve?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Frame the need. Name the user, the problem, allowed inputs and a safe simple starting method.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