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ai-7/7</w:t>
      </w:r>
    </w:p>
    <w:p>
      <w:pPr>
        <w:pStyle w:val="Title"/>
      </w:pPr>
      <w:r>
        <w:t>Hypotheses and measurable outcomes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Hypotheses and measurable outcomes.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Before running12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After seeing faster responses, the team changes its primary claim from support improvement to speed improvement.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hypothesis can fail honestly; changing it after results does not erase the original test.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Before running12 cases, you expect B support to exceed A. Write primary metric and one falsifying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Hypotheses and measurable outcomes</w:t>
      </w:r>
    </w:p>
    <w:p>
      <w:r>
        <w:t>Write a testable hypothesis before scoring. A team predicts that a retrieval rule will reduce unsupported answers on a fixed validation set.</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r>
        <w:t>Name the predicted outcome and how unsupported is scored. If B sounds friendlier but ties A’s unsupported count, does the recorded improvement hypothesis receive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