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ai-7/11</w:t>
      </w:r>
    </w:p>
    <w:p>
      <w:pPr>
        <w:pStyle w:val="Title"/>
      </w:pPr>
      <w:r>
        <w:t>Sampling variability</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Confounders and controls</w:t>
      </w:r>
    </w:p>
    <w:p>
      <w:r>
        <w:t>Without opening the old lesson, explain one key idea from Confounders and controls.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Baselines and fair comparisons</w:t>
      </w:r>
    </w:p>
    <w:p>
      <w:r>
        <w:t>Without opening the old lesson, explain one key idea from Baselines and fair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Replication and reproduction</w:t>
      </w:r>
    </w:p>
    <w:p>
      <w:r>
        <w:t>Without opening the old lesson, explain one key idea from Replication and reproduction.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Sampling variability.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Sampling variability.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Population0, 0, 4, 4 with distinct IDs; enumerate size2 sample means and their average.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Find the mean of sample means and the chance of mean2 under uniform selection of those six samples.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This finite example is not a general normality guarantee or a model of a biased convenience sample.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Population0, 0, 4, 4 with distinct IDs; enumerate size2 sample means and their average.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sampling variability evidence sheet to Reproducible AI Research Study. Show how you can explain the mechanism and terminology of sampling variability.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Sampling variability</w:t>
      </w:r>
    </w:p>
    <w:p>
      <w:r>
        <w:t>Two small samples can differ. A fixed classifier is scored on two distinct four-case samples from a declared collection.</w:t>
      </w:r>
    </w:p>
    <w:p>
      <w:r>
        <w:t>Sample A has 3 correct of 4; sample B has 2 correct of 4. The model and rubric are unchanged.</w:t>
      </w:r>
    </w:p>
    <w:p>
      <w:r>
        <w:drawing>
          <wp:inline xmlns:a="http://schemas.openxmlformats.org/drawingml/2006/main" xmlns:pic="http://schemas.openxmlformats.org/drawingml/2006/picture">
            <wp:extent cx="5486400" cy="2641600"/>
            <wp:docPr id="1" name="Picture 1" descr="Two distinct samples, fixed model"/>
            <wp:cNvGraphicFramePr>
              <a:graphicFrameLocks noChangeAspect="1"/>
            </wp:cNvGraphicFramePr>
            <a:graphic>
              <a:graphicData uri="http://schemas.openxmlformats.org/drawingml/2006/picture">
                <pic:pic>
                  <pic:nvPicPr>
                    <pic:cNvPr id="0" name="academy-detail-ai-7-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ampling variability. Keep model fixed: No training or threshold change occurs between samples.. Compute observed rates: A is 75%; B is 50%, differing by 25 percentage points.. Consider sampling: Different included cases can change a small-sample rate."/>
            <wp:cNvGraphicFramePr>
              <a:graphicFrameLocks noChangeAspect="1"/>
            </wp:cNvGraphicFramePr>
            <a:graphic>
              <a:graphicData uri="http://schemas.openxmlformats.org/drawingml/2006/picture">
                <pic:pic>
                  <pic:nvPicPr>
                    <pic:cNvPr id="0" name="academy-visual-ai-7-11.png"/>
                    <pic:cNvPicPr/>
                  </pic:nvPicPr>
                  <pic:blipFill>
                    <a:blip r:embed="rId10"/>
                    <a:stretch>
                      <a:fillRect/>
                    </a:stretch>
                  </pic:blipFill>
                  <pic:spPr>
                    <a:xfrm>
                      <a:off x="0" y="0"/>
                      <a:ext cx="5486400" cy="5145314"/>
                    </a:xfrm>
                    <a:prstGeom prst="rect"/>
                  </pic:spPr>
                </pic:pic>
              </a:graphicData>
            </a:graphic>
          </wp:inline>
        </w:drawing>
      </w:r>
    </w:p>
    <w:p>
      <w:r>
        <w:t>Calculate the two four-case rates and their difference. Explain how changed included cases can affect a fixed model, and why identical deterministic records should not differ on a rerun.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Make a transparent first version. Keep a trace of how one input becomes an output; explain the rule or learned component.</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