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ai-7/13</w:t>
      </w:r>
    </w:p>
    <w:p>
      <w:pPr>
        <w:pStyle w:val="Title"/>
      </w:pPr>
      <w:r>
        <w:t>Effect size and practical importance</w:t>
      </w:r>
    </w:p>
    <w:p>
      <w:r>
        <w:t>Project: Reproducible AI Research Study</w:t>
      </w:r>
    </w:p>
    <w:p>
      <w:pPr>
        <w:pStyle w:val="Heading1"/>
      </w:pPr>
      <w:r>
        <w:t>01. Recall and choose your starting point</w:t>
      </w:r>
    </w:p>
    <w:p>
      <w:r>
        <w:t>Try the recall before opening notes. Then use a different colour or a labelled second line to correct your explanation.</w:t>
      </w:r>
    </w:p>
    <w:p>
      <w:pPr>
        <w:pStyle w:val="Heading3"/>
      </w:pPr>
      <w:r>
        <w:t>Uncertainty intervals</w:t>
      </w:r>
    </w:p>
    <w:p>
      <w:r>
        <w:t>Without opening the old lesson, explain one key idea from Uncertainty intervals.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Confounders and controls</w:t>
      </w:r>
    </w:p>
    <w:p>
      <w:r>
        <w:t>Without opening the old lesson, explain one key idea from Confounders and controls.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Hypotheses and measurable outcomes</w:t>
      </w:r>
    </w:p>
    <w:p>
      <w:r>
        <w:t>Without opening the old lesson, explain one key idea from Hypotheses and measurable outcomes.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Trace the worked case for Effect size and practical importance.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Effect size and practical importance. Proposed explanation: “The worked result establishes every future case”.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Apply a new case independently</w:t>
      </w:r>
    </w:p>
    <w:p>
      <w:r>
        <w:t>Baseline6, 8, 10; candidate5, 7, 9. Useful mean gain at least1.5. Decide.</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W1 Explain the mechanism</w:t>
      </w:r>
    </w:p>
    <w:p>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Trace the worked case</w:t>
      </w:r>
    </w:p>
    <w:p>
      <w:r>
        <w:t>Baseline times10, 12, 8; candidate8, 9, 7 seconds. Useful gain threshold2 seconds.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Audit the limit</w:t>
      </w:r>
    </w:p>
    <w:p>
      <w:r>
        <w:t>A report omits this qualification: A meaningful sample effect may remain statistically uncertain; statistical significance can also concern a practically tiny effect.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Apply a new case independently</w:t>
      </w:r>
    </w:p>
    <w:p>
      <w:r>
        <w:t>Baseline6, 8, 10; candidate5, 7, 9. Useful mean gain at least1.5. Decide.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Add a labelled effect size and practical importance evidence sheet to Reproducible AI Research Study. Show how you can explain the mechanism and terminology of effect size and practical importance.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12. Pictorial case practice: Effect size and practical importance</w:t>
      </w:r>
    </w:p>
    <w:p>
      <w:r>
        <w:t>An improvement with a practical threshold. A team compares error rates against a predeclared practical threshold.</w:t>
      </w:r>
    </w:p>
    <w:p>
      <w:r>
        <w:t>A makes 20 errors in 1000 tasks; B makes 15. Practical improvement requires at least 10 fewer errors per 1000.</w:t>
      </w:r>
    </w:p>
    <w:p>
      <w:r>
        <w:drawing>
          <wp:inline xmlns:a="http://schemas.openxmlformats.org/drawingml/2006/main" xmlns:pic="http://schemas.openxmlformats.org/drawingml/2006/picture">
            <wp:extent cx="5486400" cy="2641600"/>
            <wp:docPr id="1" name="Picture 1" descr="Errors on 1000 tasks"/>
            <wp:cNvGraphicFramePr>
              <a:graphicFrameLocks noChangeAspect="1"/>
            </wp:cNvGraphicFramePr>
            <a:graphic>
              <a:graphicData uri="http://schemas.openxmlformats.org/drawingml/2006/picture">
                <pic:pic>
                  <pic:nvPicPr>
                    <pic:cNvPr id="0" name="academy-detail-ai-7-13.png"/>
                    <pic:cNvPicPr/>
                  </pic:nvPicPr>
                  <pic:blipFill>
                    <a:blip r:embed="rId9"/>
                    <a:stretch>
                      <a:fillRect/>
                    </a:stretch>
                  </pic:blipFill>
                  <pic:spPr>
                    <a:xfrm>
                      <a:off x="0" y="0"/>
                      <a:ext cx="5486400" cy="2641600"/>
                    </a:xfrm>
                    <a:prstGeom prst="rect"/>
                  </pic:spPr>
                </pic:pic>
              </a:graphicData>
            </a:graphic>
          </wp:inline>
        </w:drawing>
      </w:r>
    </w:p>
    <w:p>
      <w:r>
        <w:drawing>
          <wp:inline xmlns:a="http://schemas.openxmlformats.org/drawingml/2006/main" xmlns:pic="http://schemas.openxmlformats.org/drawingml/2006/picture">
            <wp:extent cx="5486400" cy="5225143"/>
            <wp:docPr id="2" name="Picture 2" descr="Effect size and practical importance. Compute rates: A is 2%; B is 1.5%.. Compute effect size: B has 5 fewer errors per 1000, a 0.5-percentage-point reduction.. Apply practical threshold: Five is less than ten, so the observed change misses this threshold."/>
            <wp:cNvGraphicFramePr>
              <a:graphicFrameLocks noChangeAspect="1"/>
            </wp:cNvGraphicFramePr>
            <a:graphic>
              <a:graphicData uri="http://schemas.openxmlformats.org/drawingml/2006/picture">
                <pic:pic>
                  <pic:nvPicPr>
                    <pic:cNvPr id="0" name="academy-visual-ai-7-13.png"/>
                    <pic:cNvPicPr/>
                  </pic:nvPicPr>
                  <pic:blipFill>
                    <a:blip r:embed="rId10"/>
                    <a:stretch>
                      <a:fillRect/>
                    </a:stretch>
                  </pic:blipFill>
                  <pic:spPr>
                    <a:xfrm>
                      <a:off x="0" y="0"/>
                      <a:ext cx="5486400" cy="5225143"/>
                    </a:xfrm>
                    <a:prstGeom prst="rect"/>
                  </pic:spPr>
                </pic:pic>
              </a:graphicData>
            </a:graphic>
          </wp:inline>
        </w:drawing>
      </w:r>
    </w:p>
    <w:p>
      <w:r>
        <w:t>Calculate the absolute error-rate reduction from 20/1000 to 15/1000. Does it meet the ten-fewer-errors threshold, and what changes when B has eight errors?</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the Reproducible AI Research Study, retain an annotated worked trace and the changed-case reasoning. Connect the claim to its records, units and assumptions so another investigator can challenge or reproduce it.</w:t>
      </w:r>
    </w:p>
    <w:p>
      <w:pPr>
        <w:pStyle w:val="Heading1"/>
      </w:pPr>
      <w:r>
        <w:t>13. Project portfolio milestone</w:t>
      </w:r>
    </w:p>
    <w:p>
      <w:r>
        <w:t>Project: Reproducible AI Research Study</w:t>
      </w:r>
    </w:p>
    <w:p>
      <w:r>
        <w:t>Current milestone: Test changed cases. Keep normal, boundary and failure cases; compare expected and observed results.</w:t>
      </w:r>
    </w:p>
    <w:p>
      <w:r>
        <w:t>For the Reproducible AI Research Study, retain an annotated worked trace and the changed-case reasoning. Connect the claim to its records, units and assumptions so another investigator can challenge or reproduce it.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