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ai-7/15</w:t>
      </w:r>
    </w:p>
    <w:p>
      <w:pPr>
        <w:pStyle w:val="Title"/>
      </w:pPr>
      <w:r>
        <w:t>Multiple comparisons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Statistical tests and assumptions</w:t>
      </w:r>
    </w:p>
    <w:p>
      <w:r>
        <w:t>Without opening the old lesson, explain one key idea from Statistical tests and assumptions.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Uncertainty intervals</w:t>
      </w:r>
    </w:p>
    <w:p>
      <w:r>
        <w:t>Without opening the old lesson, explain one key idea from Uncertainty intervals.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Experimental units and independence</w:t>
      </w:r>
    </w:p>
    <w:p>
      <w:r>
        <w:t>Without opening the old lesson, explain one key idea from Experimental units and independence.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Multiple comparisons.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Multiple comparisons.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Four tests have p-values .01, .02, .2, .9. Compute threshold and decisions.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Five tests have p-values .009, .012, .3, .4, .8.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Adjustment cannot repair invalid tests, post-hoc outcome selection or unreported analyses.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Four tests have p-values .01, .02, .2, .9. Compute threshold and decisions.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multiple comparisons evidence sheet to Reproducible AI Research Study. Show how you can explain the mechanism and terminology of multiple comparisons.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Multiple comparisons</w:t>
      </w:r>
    </w:p>
    <w:p>
      <w:r>
        <w:t>Six declared prompt comparisons. A team performs six valid hypothesis tests and applies a predeclared Bonferroni familywise threshold.</w:t>
      </w:r>
    </w:p>
    <w:p>
      <w:r>
        <w:t>Familywise alpha=0.05. Supplied unadjusted p-values are 0.004,0.012,0.02,0.08,0.4,0.9. These values are stipulated, not calculated from invented data.</w:t>
      </w:r>
    </w:p>
    <w:p>
      <w:r>
        <w:drawing>
          <wp:inline xmlns:a="http://schemas.openxmlformats.org/drawingml/2006/main" xmlns:pic="http://schemas.openxmlformats.org/drawingml/2006/picture">
            <wp:extent cx="5486400" cy="5388429"/>
            <wp:docPr id="1" name="Picture 1" descr="Supplied p-values and six-test decisions"/>
            <wp:cNvGraphicFramePr>
              <a:graphicFrameLocks noChangeAspect="1"/>
            </wp:cNvGraphicFramePr>
            <a:graphic>
              <a:graphicData uri="http://schemas.openxmlformats.org/drawingml/2006/picture">
                <pic:pic>
                  <pic:nvPicPr>
                    <pic:cNvPr id="0" name="academy-detail-ai-7-15.png"/>
                    <pic:cNvPicPr/>
                  </pic:nvPicPr>
                  <pic:blipFill>
                    <a:blip r:embed="rId9"/>
                    <a:stretch>
                      <a:fillRect/>
                    </a:stretch>
                  </pic:blipFill>
                  <pic:spPr>
                    <a:xfrm>
                      <a:off x="0" y="0"/>
                      <a:ext cx="5486400" cy="5388429"/>
                    </a:xfrm>
                    <a:prstGeom prst="rect"/>
                  </pic:spPr>
                </pic:pic>
              </a:graphicData>
            </a:graphic>
          </wp:inline>
        </w:drawing>
      </w:r>
    </w:p>
    <w:p>
      <w:r>
        <w:drawing>
          <wp:inline xmlns:a="http://schemas.openxmlformats.org/drawingml/2006/main" xmlns:pic="http://schemas.openxmlformats.org/drawingml/2006/picture">
            <wp:extent cx="5486400" cy="5366657"/>
            <wp:docPr id="2" name="Picture 2" descr="Multiple comparisons. Count the planned tests: There are six tests in the declared family.. Compute corrected threshold: 0.05/6 is about 0.00833 for each test.. Apply all six decisions: Only 0.004 is below 0.00833; the other five do not reject under this rule."/>
            <wp:cNvGraphicFramePr>
              <a:graphicFrameLocks noChangeAspect="1"/>
            </wp:cNvGraphicFramePr>
            <a:graphic>
              <a:graphicData uri="http://schemas.openxmlformats.org/drawingml/2006/picture">
                <pic:pic>
                  <pic:nvPicPr>
                    <pic:cNvPr id="0" name="academy-visual-ai-7-15.png"/>
                    <pic:cNvPicPr/>
                  </pic:nvPicPr>
                  <pic:blipFill>
                    <a:blip r:embed="rId10"/>
                    <a:stretch>
                      <a:fillRect/>
                    </a:stretch>
                  </pic:blipFill>
                  <pic:spPr>
                    <a:xfrm>
                      <a:off x="0" y="0"/>
                      <a:ext cx="5486400" cy="5366657"/>
                    </a:xfrm>
                    <a:prstGeom prst="rect"/>
                  </pic:spPr>
                </pic:pic>
              </a:graphicData>
            </a:graphic>
          </wp:inline>
        </w:drawing>
      </w:r>
    </w:p>
    <w:p>
      <w:r>
        <w:t>Calculate the six-test cutoff and identify which supplied p-values reject. Why must the team count every planned comparison rather than report only its smallest p-value?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Test changed cases. Keep normal, boundary and failure cases; compare expected and observed results.</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