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ai-7/16</w:t>
      </w:r>
    </w:p>
    <w:p>
      <w:pPr>
        <w:pStyle w:val="Title"/>
      </w:pPr>
      <w:r>
        <w:t>Ablation studies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Multiple comparisons</w:t>
      </w:r>
    </w:p>
    <w:p>
      <w:r>
        <w:t>Without opening the old lesson, explain one key idea from Multiple comparisons.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Effect size and practical importance</w:t>
      </w:r>
    </w:p>
    <w:p>
      <w:r>
        <w:t>Without opening the old lesson, explain one key idea from Effect size and practical importance.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Confounders and controls</w:t>
      </w:r>
    </w:p>
    <w:p>
      <w:r>
        <w:t>Without opening the old lesson, explain one key idea from Confounders and controls.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Ablation studies.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Ablation studies.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Full12/15, without A9/15, without B11/15. Compute sample drops and state interaction limit.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Full system8/10, without retrieval5/10, without validation7/10; the last permits an unauthorised action.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Removing a component changes a complete procedure; attribution depends on the controlled design and possible interactions.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Full12/15, without A9/15, without B11/15. Compute sample drops and state interaction limit.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ablation studies evidence sheet to Reproducible AI Research Study. Show how you can explain the mechanism and terminology of ablation studies.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Ablation studies</w:t>
      </w:r>
    </w:p>
    <w:p>
      <w:r>
        <w:t>Remove one component at a time. A retrieval pipeline has search plus a relevance filter. A team tests the filter’s contribution.</w:t>
      </w:r>
    </w:p>
    <w:p>
      <w:r>
        <w:t>Full pipeline: 8/10 correct. Filter removed: 6/10 on the same cases, with all other settings fixed.</w:t>
      </w:r>
    </w:p>
    <w:p>
      <w:r>
        <w:drawing>
          <wp:inline xmlns:a="http://schemas.openxmlformats.org/drawingml/2006/main" xmlns:pic="http://schemas.openxmlformats.org/drawingml/2006/picture">
            <wp:extent cx="5486400" cy="2641600"/>
            <wp:docPr id="1" name="Picture 1" descr="Relevance-filter ablation"/>
            <wp:cNvGraphicFramePr>
              <a:graphicFrameLocks noChangeAspect="1"/>
            </wp:cNvGraphicFramePr>
            <a:graphic>
              <a:graphicData uri="http://schemas.openxmlformats.org/drawingml/2006/picture">
                <pic:pic>
                  <pic:nvPicPr>
                    <pic:cNvPr id="0" name="academy-detail-ai-7-16.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Ablation studies. Name the component: The relevance filter is the single declared change.. Run the ablation: Remove only the filter and preserve cases and scoring.. Compare outcomes: Correctness falls from 80% to 60%, two cases in this set."/>
            <wp:cNvGraphicFramePr>
              <a:graphicFrameLocks noChangeAspect="1"/>
            </wp:cNvGraphicFramePr>
            <a:graphic>
              <a:graphicData uri="http://schemas.openxmlformats.org/drawingml/2006/picture">
                <pic:pic>
                  <pic:nvPicPr>
                    <pic:cNvPr id="0" name="academy-visual-ai-7-16.png"/>
                    <pic:cNvPicPr/>
                  </pic:nvPicPr>
                  <pic:blipFill>
                    <a:blip r:embed="rId10"/>
                    <a:stretch>
                      <a:fillRect/>
                    </a:stretch>
                  </pic:blipFill>
                  <pic:spPr>
                    <a:xfrm>
                      <a:off x="0" y="0"/>
                      <a:ext cx="5486400" cy="5145314"/>
                    </a:xfrm>
                    <a:prstGeom prst="rect"/>
                  </pic:spPr>
                </pic:pic>
              </a:graphicData>
            </a:graphic>
          </wp:inline>
        </w:drawing>
      </w:r>
    </w:p>
    <w:p>
      <w:r>
        <w:t>Calculate the filter ablation’s two rates and count change. Which single component is altered, and why does also changing the model prevent isolating the filter?</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Test changed cases. Keep normal, boundary and failure cases; compare expected and observed results.</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