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ai-7/19</w:t>
      </w:r>
    </w:p>
    <w:p>
      <w:pPr>
        <w:pStyle w:val="Title"/>
      </w:pPr>
      <w:r>
        <w:t>Research ethics and consent</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Research ethics and consent.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Research ethics and consent.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fictional policy requires opt-in; proposal treats silence as agreement and grades participation.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Proposal automatically copies student essays into a study because they were submitted for grading.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classroom policy exercise does not determine real legal or institutional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fictional policy requires opt-in; proposal treats silence as agreement and grades participation. Audit.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Research ethics and consent</w:t>
      </w:r>
    </w:p>
    <w:p>
      <w:r>
        <w:t>Consent is specific, not universal. A fictional study asks adults to submit anonymous drawings for one pattern-recognition investigation.</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r>
        <w:t>Identify which uses the drawing consent permits and excludes. Can the unrelated project reuse the drawings under this agreement, and what new authorisation would be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