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ai-7/20</w:t>
      </w:r>
    </w:p>
    <w:p>
      <w:pPr>
        <w:pStyle w:val="Title"/>
      </w:pPr>
      <w:r>
        <w:t>Privacy and data governance</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Research ethics and consent</w:t>
      </w:r>
    </w:p>
    <w:p>
      <w:r>
        <w:t>Without opening the old lesson, explain one key idea from Research ethics and consent.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Sensitivity analysis</w:t>
      </w:r>
    </w:p>
    <w:p>
      <w:r>
        <w:t>Without opening the old lesson, explain one key idea from Sensitivity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Statistical tests and assumptions</w:t>
      </w:r>
    </w:p>
    <w:p>
      <w:r>
        <w:t>Without opening the old lesson, explain one key idea from Statistical tests and assumptions.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Privacy and data governance.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Privacy and data governance.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Aggregate contains one member in a subgroup; policy forbids subgroup reports smaller than5.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Export has coded ID, exact birth date, classroom and rare condition. Team calls it anonymous because names are removed.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size threshold or coding scheme alone does not guarantee privacy.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Aggregate contains one member in a subgroup; policy forbids subgroup reports smaller than5.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privacy and data governance evidence sheet to Reproducible AI Research Study. Show how you can explain the mechanism and terminology of privacy and data governance.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Privacy and data governance</w:t>
      </w:r>
    </w:p>
    <w:p>
      <w:r>
        <w:t>Govern data by purpose and access. A fictional project needs task scores and random participant codes, but not names.</w:t>
      </w:r>
    </w:p>
    <w:p>
      <w:r>
        <w:t>The analysis table holds codes and scores. A separate restricted key links codes to names only for authorised withdrawal handling.</w:t>
      </w:r>
    </w:p>
    <w:p>
      <w:r>
        <w:drawing>
          <wp:inline xmlns:a="http://schemas.openxmlformats.org/drawingml/2006/main" xmlns:pic="http://schemas.openxmlformats.org/drawingml/2006/picture">
            <wp:extent cx="5486400" cy="5185229"/>
            <wp:docPr id="1" name="Picture 1" descr="Privacy and data governance. Separate tables: Keep analysis records apart from the identity key.. Limit access: Analysts receive scores and codes, not the name linkage.. Define retention: Apply the approved deletion schedule to both stores and listed copies."/>
            <wp:cNvGraphicFramePr>
              <a:graphicFrameLocks noChangeAspect="1"/>
            </wp:cNvGraphicFramePr>
            <a:graphic>
              <a:graphicData uri="http://schemas.openxmlformats.org/drawingml/2006/picture">
                <pic:pic>
                  <pic:nvPicPr>
                    <pic:cNvPr id="0" name="academy-visual-ai-7-20.png"/>
                    <pic:cNvPicPr/>
                  </pic:nvPicPr>
                  <pic:blipFill>
                    <a:blip r:embed="rId9"/>
                    <a:stretch>
                      <a:fillRect/>
                    </a:stretch>
                  </pic:blipFill>
                  <pic:spPr>
                    <a:xfrm>
                      <a:off x="0" y="0"/>
                      <a:ext cx="5486400" cy="5185229"/>
                    </a:xfrm>
                    <a:prstGeom prst="rect"/>
                  </pic:spPr>
                </pic:pic>
              </a:graphicData>
            </a:graphic>
          </wp:inline>
        </w:drawing>
      </w:r>
    </w:p>
    <w:p>
      <w:r>
        <w:t>Point to the analysis table and the restricted identity key. Why are the codes pseudonymous rather than guaranteed anonymous, and what changes if the key is published?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Evaluate and revise. Compare with your starting method, explain errors and record a justified revision.</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