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ai-7/23</w:t>
      </w:r>
    </w:p>
    <w:p>
      <w:pPr>
        <w:pStyle w:val="Title"/>
      </w:pPr>
      <w:r>
        <w:t>Power and resource tradeoffs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Pilot experiments</w:t>
      </w:r>
    </w:p>
    <w:p>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and data governance</w:t>
      </w:r>
    </w:p>
    <w:p>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Sensitivity analysis</w:t>
      </w:r>
    </w:p>
    <w:p>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Power and resource tradeoffs.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Power and resource tradeoffs.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One hundred alternative trials detect70 at n30 and85 at n60; unit cost2.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For a fixed alternative100 simulations detect62 times at n20 and83 at n40. Per-unit cost3 credits.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Power estimates do not repair biased sampling or establish the probability a particular hypothesis is true.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One hundred alternative trials detect70 at n30 and85 at n60; unit cost2.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power and resource tradeoffs evidence sheet to Reproducible AI Research Study. Show how you can explain the mechanism and terminology of power and resource tradeoffs.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Power and resource tradeoffs</w:t>
      </w:r>
    </w:p>
    <w:p>
      <w:r>
        <w:t>A simulated detection-and-resource trade-off. A fictional simulation repeats a study under the same assumed alternative effect, using two independent-unit sample sizes.</w:t>
      </w:r>
    </w:p>
    <w:p>
      <w:r>
        <w:t>There are 100 simulation trials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r>
        <w:t>Calculate both simulated detection fractions and resource costs. What additional detection is observed for the extra forty units, and does that establish power for an actual classroom study?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