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ai-7/27</w:t>
      </w:r>
    </w:p>
    <w:p>
      <w:pPr>
        <w:pStyle w:val="Title"/>
      </w:pPr>
      <w:r>
        <w:t>Robustness across conditions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Robustness across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Robustness across conditions.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Baseline/candidate on conditionA:6/8, 7/8; conditionB:5/8, 4/8. Compare paired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Method passes9/10 on current sources and5/10 on outdated sources.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Robustness is bounded by the tested variations and independent evidence policy.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Baseline/candidate on conditionA:6/8, 7/8; conditionB:5/8, 4/8. Compare paired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Robustness across conditions</w:t>
      </w:r>
    </w:p>
    <w:p>
      <w:r>
        <w:t>Check robustness across conditions. A fixed classifier is tested separately on indoor and shaded outdoor cases.</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r>
        <w:t>Calculate indoor, outdoor and combined rates. Which relevant weakness disappears from view when only the combined rate is reported?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