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ai-7/30</w:t>
      </w:r>
    </w:p>
    <w:p>
      <w:pPr>
        <w:pStyle w:val="Title"/>
      </w:pPr>
      <w:r>
        <w:t>Writing the methods section</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Figures that preserve evidence</w:t>
      </w:r>
    </w:p>
    <w:p>
      <w:r>
        <w:t>Without opening the old lesson, explain one key idea from Figures that preserve evidence.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Robustness across conditions</w:t>
      </w:r>
    </w:p>
    <w:p>
      <w:r>
        <w:t>Without opening the old lesson, explain one key idea from Robustness across conditions.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Reproducible environment and records</w:t>
      </w:r>
    </w:p>
    <w:p>
      <w:r>
        <w:t>Without opening the old lesson, explain one key idea from Reproducible environment and records.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Writing the methods section.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Writing the methods section.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Methods names a dataset and metric, but not whether near-duplicate sources cross the split. What detail matters?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Methods says used AI on data and got good scores; code and split are absent.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detailed methods section can reveal limitations; it does not guarantee a correct design.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Methods names a dataset and metric, but not whether near-duplicate sources cross the split. What detail matters?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writing the methods section evidence sheet to Reproducible AI Research Study. Show how you can explain the mechanism and terminology of writing the methods section.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Writing the methods section</w:t>
      </w:r>
    </w:p>
    <w:p>
      <w:r>
        <w:t>Methods that another team can repeat. A paper describes a toy string-classification experiment using a stated length rule.</w:t>
      </w:r>
    </w:p>
    <w:p>
      <w:r>
        <w:t>Inputs: "oak", "pine", "willow". Rule: length at least 4→long, otherwise short. No whitespace trimming occurs.</w:t>
      </w:r>
    </w:p>
    <w:p>
      <w:r>
        <w:drawing>
          <wp:inline xmlns:a="http://schemas.openxmlformats.org/drawingml/2006/main" xmlns:pic="http://schemas.openxmlformats.org/drawingml/2006/picture">
            <wp:extent cx="5486400" cy="5145314"/>
            <wp:docPr id="1" name="Picture 1" descr="Writing the methods section. Record exact inputs: Preserve the three strings and no-trimming policy.. State procedure: Apply the inclusive length boundary at four characters.. Show resulting labels: Oak is short; pine and willow are long."/>
            <wp:cNvGraphicFramePr>
              <a:graphicFrameLocks noChangeAspect="1"/>
            </wp:cNvGraphicFramePr>
            <a:graphic>
              <a:graphicData uri="http://schemas.openxmlformats.org/drawingml/2006/picture">
                <pic:pic>
                  <pic:nvPicPr>
                    <pic:cNvPr id="0" name="academy-visual-ai-7-30.png"/>
                    <pic:cNvPicPr/>
                  </pic:nvPicPr>
                  <pic:blipFill>
                    <a:blip r:embed="rId9"/>
                    <a:stretch>
                      <a:fillRect/>
                    </a:stretch>
                  </pic:blipFill>
                  <pic:spPr>
                    <a:xfrm>
                      <a:off x="0" y="0"/>
                      <a:ext cx="5486400" cy="5145314"/>
                    </a:xfrm>
                    <a:prstGeom prst="rect"/>
                  </pic:spPr>
                </pic:pic>
              </a:graphicData>
            </a:graphic>
          </wp:inline>
        </w:drawing>
      </w:r>
    </w:p>
    <w:p>
      <w:r>
        <w:t>Apply the inclusive four-character rule to oak, pine and willow. Which label changes under greater-than-four, and what method detail allows another team to reproduce the distinction?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Prepare the demonstration. Gather reproducible instructions, evidence, access checks and remaining limitations.</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