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ai-7/20</w:t>
      </w:r>
    </w:p>
    <w:p>
      <w:pPr>
        <w:pStyle w:val="Title"/>
      </w:pPr>
      <w:r>
        <w:t>Privacy and data governance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Research ethics and consent.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privacy and data governance.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privacy and </w:t>
      </w:r>
      <w:r>
        <w:rPr>
          <w:b/>
        </w:rPr>
        <w:t>data governance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Sensitivity analysis.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Statistical tests and assumptions.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privacy and </w:t>
      </w:r>
      <w:r>
        <w:rPr>
          <w:b/>
        </w:rPr>
        <w:t>data governance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Research ethics and consent.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privacy and </w:t>
      </w:r>
      <w:r>
        <w:rPr>
          <w:b/>
        </w:rPr>
        <w:t>data governance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Privacy and data governance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Data governance</w:t>
      </w:r>
      <w:r>
        <w:rPr>
          <w:b w:val="0"/>
        </w:rPr>
        <w:t xml:space="preserve"> specifies who may use which records, for what purpose and for how long. Coded data can still be reidentifiable.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Privacy and data governance.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fictional records separate participant-code table from analysis values; limit access and retention. Remove unnecessary fields and small-group details before a permitted aggregate export.</w:t>
      </w:r>
    </w:p>
    <w:p>
      <w:pPr>
        <w:pStyle w:val="Heading3"/>
      </w:pPr>
      <w:r>
        <w:t>Privacy and data governance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Export has coded ID, exact birth date, classroom and rare condition. Team calls it anonymous because names are removed.</w:t>
            </w:r>
          </w:p>
        </w:tc>
        <w:tc>
          <w:tcPr>
            <w:tcW w:type="dxa" w:w="3408"/>
          </w:tcPr>
          <w:p>
            <w:r>
              <w:t>For fictional records separate participant-code table from analysis values; limit access and retention. Remove unnecessary fields and small-group details before a permitted aggregate export.</w:t>
            </w:r>
          </w:p>
        </w:tc>
        <w:tc>
          <w:tcPr>
            <w:tcW w:type="dxa" w:w="3408"/>
          </w:tcPr>
          <w:p>
            <w:r>
              <w:t>The combination can remain identifying; coded is not necessarily anonymous. Minimise fields and assess disclosure under the declared policy.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Privacy and data governance.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Export has coded ID, exact birth date, classroom and rare condition. Team calls it anonymous because names are removed.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Publish the identity key with the analysis table.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records become directly linkable to names and breach this access design.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Separation only helps while the linkage key remains restricted.</w:t>
      </w:r>
    </w:p>
    <w:p>
      <w:pPr>
        <w:pStyle w:val="Heading1"/>
      </w:pPr>
      <w:r>
        <w:t>05. Words that unlock the idea</w:t>
      </w:r>
    </w:p>
    <w:p>
      <w:r>
        <w:t>Use the vocabulary of Privacy and data governance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Data governance</w:t>
            </w:r>
          </w:p>
        </w:tc>
        <w:tc>
          <w:tcPr>
            <w:tcW w:type="dxa" w:w="5112"/>
          </w:tcPr>
          <w:p>
            <w:r>
              <w:t>Rules for purpose, access, quality and lifetime</w:t>
            </w:r>
          </w:p>
        </w:tc>
      </w:tr>
      <w:tr>
        <w:tc>
          <w:tcPr>
            <w:tcW w:type="dxa" w:w="5112"/>
          </w:tcPr>
          <w:p>
            <w:r>
              <w:t>Pseudonym</w:t>
            </w:r>
          </w:p>
        </w:tc>
        <w:tc>
          <w:tcPr>
            <w:tcW w:type="dxa" w:w="5112"/>
          </w:tcPr>
          <w:p>
            <w:r>
              <w:t>A code replacing direct identification</w:t>
            </w:r>
          </w:p>
        </w:tc>
      </w:tr>
      <w:tr>
        <w:tc>
          <w:tcPr>
            <w:tcW w:type="dxa" w:w="5112"/>
          </w:tcPr>
          <w:p>
            <w:r>
              <w:t>Disclosure risk</w:t>
            </w:r>
          </w:p>
        </w:tc>
        <w:tc>
          <w:tcPr>
            <w:tcW w:type="dxa" w:w="5112"/>
          </w:tcPr>
          <w:p>
            <w:r>
              <w:t>The possibility of learning identifying or sensitive facts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Privacy and data governance, predict a step, then compare with its explanation.</w:t>
      </w:r>
    </w:p>
    <w:p>
      <w:pPr>
        <w:spacing w:line="336" w:lineRule="auto" w:after="180"/>
      </w:pPr>
      <w:r>
        <w:rPr>
          <w:b w:val="0"/>
        </w:rPr>
        <w:t>Export has coded ID, exact birth date, classroom and rare condition. Team calls it anonymous because names are removed.</w:t>
      </w:r>
    </w:p>
    <w:p>
      <w:pPr>
        <w:spacing w:line="336" w:lineRule="auto" w:after="180"/>
      </w:pPr>
      <w:r>
        <w:rPr>
          <w:b w:val="0"/>
        </w:rPr>
        <w:t>The combination can remain identifying; coded is not necessarily anonymous. Minimise fields and assess disclosure under the declared policy.</w:t>
      </w:r>
    </w:p>
    <w:p>
      <w:pPr>
        <w:pStyle w:val="Heading3"/>
      </w:pPr>
      <w:r>
        <w:t>Worked explanation · Privacy and data governance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Privacy and data governance</w:t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The analysis table holds codes and scores. A separate restricted key links codes to names only for authorised withdrawal handling.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ivacy and data governance. Separate tables: Keep analysis records apart from the identity key.. Limit access: Analysts receive scores and codes, not the name linkage.. Define retention: Apply the approved deletion schedule to both stores and list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Separate tables</w:t>
            </w:r>
          </w:p>
        </w:tc>
        <w:tc>
          <w:tcPr>
            <w:tcW w:type="dxa" w:w="5112"/>
          </w:tcPr>
          <w:p>
            <w:r>
              <w:t>Keep analysis records apart from the identity key.</w:t>
            </w:r>
          </w:p>
        </w:tc>
      </w:tr>
      <w:tr>
        <w:tc>
          <w:tcPr>
            <w:tcW w:type="dxa" w:w="5112"/>
          </w:tcPr>
          <w:p>
            <w:r>
              <w:t>2. Limit access</w:t>
            </w:r>
          </w:p>
        </w:tc>
        <w:tc>
          <w:tcPr>
            <w:tcW w:type="dxa" w:w="5112"/>
          </w:tcPr>
          <w:p>
            <w:r>
              <w:t>Analysts receive scores and codes, not the name linkage.</w:t>
            </w:r>
          </w:p>
        </w:tc>
      </w:tr>
      <w:tr>
        <w:tc>
          <w:tcPr>
            <w:tcW w:type="dxa" w:w="5112"/>
          </w:tcPr>
          <w:p>
            <w:r>
              <w:t>3. Define retention</w:t>
            </w:r>
          </w:p>
        </w:tc>
        <w:tc>
          <w:tcPr>
            <w:tcW w:type="dxa" w:w="5112"/>
          </w:tcPr>
          <w:p>
            <w:r>
              <w:t>Apply the approved deletion schedule to both stores and listed copies.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Pseudonym</w:t>
      </w:r>
      <w:r>
        <w:rPr>
          <w:b w:val="0"/>
        </w:rPr>
        <w:t>ous codes reduce routine exposure but are not the same as irreversible anonymity. Governance specifies purpose, readers, locations and retention.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Small groups or unusual records may still be identifiable without names; evaluate re-identification risk.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Point to the analysis table and the restricted identity key. Why are the codes </w:t>
      </w:r>
      <w:r>
        <w:rPr>
          <w:b/>
        </w:rPr>
        <w:t>pseudonym</w:t>
      </w:r>
      <w:r>
        <w:rPr>
          <w:b w:val="0"/>
        </w:rPr>
        <w:t>ous rather than guaranteed anonymous, and what changes if the key is published?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Publish the identity key with the analysis table.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Privacy and data governance claim and explain a repair using the supplied evidence.</w:t>
      </w:r>
    </w:p>
    <w:p>
      <w:pPr>
        <w:spacing w:line="336" w:lineRule="auto" w:after="180"/>
      </w:pPr>
      <w:r>
        <w:rPr>
          <w:b w:val="0"/>
        </w:rPr>
        <w:t>A size threshold or coding scheme alone does not guarantee privacy.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 size threshold or coding scheme alone does not guarantee privacy.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Privacy and data governance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“Privacy and </w:t>
      </w:r>
      <w:r>
        <w:rPr>
          <w:b/>
        </w:rPr>
        <w:t>data governance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Privacy and </w:t>
      </w:r>
      <w:r>
        <w:rPr>
          <w:b/>
        </w:rPr>
        <w:t>data governance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the analysis table and the restricted identity key. Why are the codes </w:t>
      </w:r>
      <w:r>
        <w:rPr>
          <w:b/>
        </w:rPr>
        <w:t>pseudonym</w:t>
      </w:r>
      <w:r>
        <w:rPr>
          <w:b w:val="0"/>
        </w:rPr>
        <w:t>ous rather than guaranteed anonymous, and what changes if the key is published?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Privacy and data governance.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Export has coded ID, exact birth date, classroom and rare condition. Team calls it anonymous because names are removed.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Privacy and data governance.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 size threshold or coding scheme alone does not guarantee privacy.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privacy and </w:t>
      </w:r>
      <w:r>
        <w:rPr>
          <w:b/>
        </w:rPr>
        <w:t>data governance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privacy and </w:t>
      </w:r>
      <w:r>
        <w:rPr>
          <w:b/>
        </w:rPr>
        <w:t>data governance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Privacy and data governance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Privacy and data governance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Export has coded ID, exact birth date, classroom and rare condition. Team calls it anonymous because names are removed.</w:t>
            </w:r>
          </w:p>
        </w:tc>
        <w:tc>
          <w:tcPr>
            <w:tcW w:type="dxa" w:w="3408"/>
          </w:tcPr>
          <w:p>
            <w:r>
              <w:t>For fictional records separate participant-code table from analysis values; limit access and retention. Remove unnecessary fields and small-group details before a permitted aggregate export.</w:t>
            </w:r>
          </w:p>
        </w:tc>
        <w:tc>
          <w:tcPr>
            <w:tcW w:type="dxa" w:w="3408"/>
          </w:tcPr>
          <w:p>
            <w:r>
              <w:t>The combination can remain identifying; coded is not necessarily anonymous. Minimise fields and assess disclosure under the declared policy.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Aggregate contains one member in a subgroup; policy forbids subgroup reports smaller than5.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Aggregate contains one member in a subgroup; policy forbids subgroup reports smaller than5.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Privacy and data governance,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Govern data by purpose and access. A fictional project needs task scores and random participant codes, but not names.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privacy and data governance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Privacy and data governance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privacy and </w:t>
      </w:r>
      <w:r>
        <w:rPr>
          <w:b/>
        </w:rPr>
        <w:t>data governance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Apply the approved deletion schedule to both stores and listed copies.</w:t>
      </w:r>
    </w:p>
    <w:p>
      <w:pPr>
        <w:spacing w:line="336" w:lineRule="auto" w:after="180"/>
        <w:shd w:fill="F4F9FC"/>
      </w:pPr>
      <w:r>
        <w:rPr>
          <w:b w:val="0"/>
        </w:rPr>
        <w:t>1. Define retention</w:t>
      </w:r>
    </w:p>
    <w:p>
      <w:pPr>
        <w:spacing w:line="336" w:lineRule="auto" w:after="180"/>
        <w:shd w:fill="F4F9FC"/>
      </w:pPr>
      <w:r>
        <w:rPr>
          <w:b w:val="0"/>
        </w:rPr>
        <w:t>2. Separate tables</w:t>
      </w:r>
    </w:p>
    <w:p>
      <w:pPr>
        <w:spacing w:line="336" w:lineRule="auto" w:after="180"/>
        <w:shd w:fill="F4F9FC"/>
      </w:pPr>
      <w:r>
        <w:rPr>
          <w:b w:val="0"/>
        </w:rPr>
        <w:t>3. Limit access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Define retention Apply the approved deletion schedule to both stores and listed copies.</w:t>
      </w:r>
    </w:p>
    <w:p>
      <w:pPr>
        <w:spacing w:line="336" w:lineRule="auto" w:after="180"/>
        <w:shd w:fill="F1F6FC"/>
      </w:pPr>
      <w:r>
        <w:rPr>
          <w:b/>
        </w:rPr>
        <w:t>Pseudonym</w:t>
      </w:r>
      <w:r>
        <w:rPr>
          <w:b w:val="0"/>
        </w:rPr>
        <w:t>ous codes reduce routine exposure but are not the same as irreversible anonymity. Governance specifies purpose, readers, locations and retention.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Publish the identity key with the analysis table.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records become directly linkable to names and breach this access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records become directly linkable to names and breach this access design. Separation only helps while the linkage key remains restricted.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Sensitivity analysis (ai-7/17). Goal: Explain the </w:t>
      </w:r>
      <w:r>
        <w:rPr>
          <w:b/>
        </w:rPr>
        <w:t>mechanism</w:t>
      </w:r>
      <w:r>
        <w:rPr>
          <w:b w:val="0"/>
        </w:rPr>
        <w:t xml:space="preserve"> and terminology of sensitivity analysis. Short practice: Classify 0.4, 0.6 and 0.8 at cutoffs 0.5, 0.7 and exactly 0.6.</w:t>
      </w:r>
    </w:p>
    <w:p>
      <w:pPr>
        <w:spacing w:line="336" w:lineRule="auto" w:after="180"/>
      </w:pPr>
      <w:r>
        <w:rPr>
          <w:b w:val="0"/>
        </w:rPr>
        <w:t>Which equality rule decides the boundary, and can these unlabelled scores identify the best cutoff?.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Statistical tests and assumptions (ai-7/14). Goal: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 Short practice: Calculate each paired difference and the observed sum.</w:t>
      </w:r>
    </w:p>
    <w:p>
      <w:pPr>
        <w:spacing w:line="336" w:lineRule="auto" w:after="180"/>
      </w:pPr>
      <w:r>
        <w:rPr>
          <w:b w:val="0"/>
        </w:rPr>
        <w:t>Count null arrangements with absolute sum at least four, compute p, and explain the decision at threshold 0.05..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Privacy and data governance graphic using its labels, deciding evidence and relevant limitation.</w:t>
      </w:r>
    </w:p>
    <w:p>
      <w:pPr>
        <w:pStyle w:val="Heading3"/>
      </w:pPr>
      <w:r>
        <w:t>01. Privacy and data governance: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Govern data by purpose and access. A fictional project needs task scores and random participant codes, but not names. Supplied facts: The analysis table holds codes and scores. A separate restricted key links codes to names only for authorised withdrawal hand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Govern data by purpose and access. A fictional project needs task scores and random participant codes, but not names. Supplied facts: The analysis table holds codes and scores.</w:t>
      </w:r>
    </w:p>
    <w:p>
      <w:pPr>
        <w:spacing w:line="336" w:lineRule="auto" w:after="180"/>
      </w:pPr>
      <w:r>
        <w:rPr>
          <w:b w:val="0"/>
        </w:rPr>
        <w:t>A separate restricted key links codes to names only for authorised withdrawal handling.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eparate tables: Keep analysis records apart from the identity key. → Limit access: Analysts receive scores and codes, not the name linkage. → Define retention: Apply the approved deletion schedule to both stores and list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tables: Keep analysis records apart from the identity key. → Limit access: Analysts receive scores and codes, not the name linkage. → Define retention: Apply the approved deletion schedule to both stores and listed copies.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Keep analysis records separate from the identity key</w:t>
      </w:r>
    </w:p>
    <w:p>
      <w:r>
        <w:drawing>
          <wp:inline xmlns:a="http://schemas.openxmlformats.org/drawingml/2006/main" xmlns:pic="http://schemas.openxmlformats.org/drawingml/2006/picture">
            <wp:extent cx="5486400" cy="3520440"/>
            <wp:docPr id="4" name="Picture 4" descr="Analysts receive random participant codes and scores. A separate restricted key links codes to names only for authorised withdrawal handling. Keeping the key restricted reduces exposure; it does not guarantee anonym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Analysts receive random participant codes and scores. A separate restricted key links codes to names only for authorised withdrawal handling. Keeping the key restricted reduces exposure; it does not guarantee anonymity.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pply the approved deletion schedule to both stores and listed copies. Changed condition: Publish the identity key with the analysis table. Expected result: The records become directly linkable to names and breach this access design. Reason: Separation only helps while the linkage key remains restri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Apply the approved deletion schedule to both stores and listed copies. Changed condition: Publish the identity key with the analysis table.</w:t>
      </w:r>
    </w:p>
    <w:p>
      <w:pPr>
        <w:spacing w:line="336" w:lineRule="auto" w:after="180"/>
      </w:pPr>
      <w:r>
        <w:rPr>
          <w:b w:val="0"/>
        </w:rPr>
        <w:t>Expected result: The records become directly linkable to names and breach this access design. Reason: Separation only helps while the linkage key remains restricted.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seudonymous codes reduce routine exposure but are not the same as irreversible anonymity. Governance specifies purpose, readers, locations and retention. Limit: Small groups or unusual records may still be identifiable without names; evaluate re-identification ris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Pseudonym</w:t>
      </w:r>
      <w:r>
        <w:rPr>
          <w:b w:val="0"/>
        </w:rPr>
        <w:t>ous codes reduce routine exposure but are not the same as irreversible anonymity. Governance specifies purpose, readers, locations and retention.</w:t>
      </w:r>
    </w:p>
    <w:p>
      <w:pPr>
        <w:spacing w:line="336" w:lineRule="auto" w:after="180"/>
      </w:pPr>
      <w:r>
        <w:rPr>
          <w:b w:val="0"/>
        </w:rPr>
        <w:t>Limit: Small groups or unusual records may still be identifiable without names; evaluate re-identification risk.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Point to the analysis table and the restricted identity key. Why are the codes pseudonymous rather than guaranteed anonymous, and what changes if the key is publish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 xml:space="preserve">Why are the codes </w:t>
      </w:r>
      <w:r>
        <w:rPr>
          <w:b/>
        </w:rPr>
        <w:t>pseudonym</w:t>
      </w:r>
      <w:r>
        <w:rPr>
          <w:b w:val="0"/>
        </w:rPr>
        <w:t>ous rather than guaranteed anonymous, and what changes if the key is published?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