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ai-6/30</w:t>
      </w:r>
    </w:p>
    <w:p>
      <w:pPr>
        <w:pStyle w:val="Title"/>
      </w:pPr>
      <w:r>
        <w:t>Security and privacy review</w:t>
      </w:r>
    </w:p>
    <w:p>
      <w:r>
        <w:t>Project: Grounded Learning Service</w:t>
      </w:r>
    </w:p>
    <w:p>
      <w:pPr>
        <w:pStyle w:val="Heading1"/>
      </w:pPr>
      <w:r>
        <w:t>01. Prepare the purpose, prerequisites and materials</w:t>
      </w:r>
    </w:p>
    <w:p>
      <w:r>
        <w:t>Prepare Security and privacy review: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security and </w:t>
      </w:r>
      <w:r>
        <w:rPr>
          <w:b/>
        </w:rPr>
        <w:t>privacy review</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Performance and cost experiments</w:t>
      </w:r>
    </w:p>
    <w:p>
      <w:pPr>
        <w:spacing w:line="336" w:lineRule="auto" w:after="180"/>
      </w:pPr>
      <w:r>
        <w:rPr>
          <w:b w:val="0"/>
        </w:rPr>
        <w:t>Without opening the old lesson, explain one key idea from Performance and cost experiments.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performance and cost experiments</w:t>
      </w:r>
    </w:p>
    <w:p>
      <w:pPr>
        <w:spacing w:line="336" w:lineRule="auto" w:after="180"/>
      </w:pPr>
      <w:r>
        <w:rPr>
          <w:b w:val="0"/>
        </w:rPr>
        <w:t>Reference example, not the only acceptable wording: Teacher explanation: Performance experiments compare matched workloads with declared timing boundaries and quality constraints. Averages can hide slow cases.</w:t>
      </w:r>
    </w:p>
    <w:p>
      <w:pPr>
        <w:spacing w:line="336" w:lineRule="auto" w:after="180"/>
      </w:pPr>
      <w:r>
        <w:rPr>
          <w:b w:val="0"/>
        </w:rPr>
        <w:t>Use the same cases and environment; record every duration and success. For a simple median sort values and average the middle pair for even counts. Keep failed requests visible.</w:t>
      </w:r>
    </w:p>
    <w:p>
      <w:pPr>
        <w:pStyle w:val="Heading3"/>
      </w:pPr>
      <w:r>
        <w:t>Human escalation workflows</w:t>
      </w:r>
    </w:p>
    <w:p>
      <w:pPr>
        <w:spacing w:line="336" w:lineRule="auto" w:after="180"/>
      </w:pPr>
      <w:r>
        <w:rPr>
          <w:b w:val="0"/>
        </w:rPr>
        <w:t>Without opening the old lesson, explain one key idea from Human escalation workflows.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human escalation workflows</w:t>
      </w:r>
    </w:p>
    <w:p>
      <w:pPr>
        <w:spacing w:line="336" w:lineRule="auto" w:after="180"/>
      </w:pPr>
      <w:r>
        <w:rPr>
          <w:b w:val="0"/>
        </w:rPr>
        <w:t>Reference example, not the only acceptable wording: Teacher explanation: Escalation routes unresolved decisions to an authorised person with sufficient context. It must define owner, deadline and fallback.</w:t>
      </w:r>
    </w:p>
    <w:p>
      <w:pPr>
        <w:spacing w:line="336" w:lineRule="auto" w:after="180"/>
      </w:pPr>
      <w:r>
        <w:rPr>
          <w:b w:val="0"/>
        </w:rPr>
        <w:t>Toy workflow routes conflicting room approval to coordinator with source IDs and requested decision. While awaiting review the assistant returns needs_review and performs no booking.</w:t>
      </w:r>
    </w:p>
    <w:p>
      <w:pPr>
        <w:pStyle w:val="Heading3"/>
      </w:pPr>
      <w:r>
        <w:t>Release and rollback</w:t>
      </w:r>
    </w:p>
    <w:p>
      <w:pPr>
        <w:spacing w:line="336" w:lineRule="auto" w:after="180"/>
      </w:pPr>
      <w:r>
        <w:rPr>
          <w:b w:val="0"/>
        </w:rPr>
        <w:t>Without opening the old lesson, explain one key idea from Release and rollback.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release and rollback</w:t>
      </w:r>
    </w:p>
    <w:p>
      <w:pPr>
        <w:spacing w:line="336" w:lineRule="auto" w:after="180"/>
      </w:pPr>
      <w:r>
        <w:rPr>
          <w:b w:val="0"/>
        </w:rPr>
        <w:t xml:space="preserve">Reference example, not the only acceptable wording: Teacher explanation: Release records bind code, configuration, data schema and evaluation </w:t>
      </w:r>
      <w:r>
        <w:rPr>
          <w:b/>
        </w:rPr>
        <w:t>evidence</w:t>
      </w:r>
      <w:r>
        <w:rPr>
          <w:b w:val="0"/>
        </w:rPr>
        <w:t>. Rollback requires compatibility with the current stored data.</w:t>
      </w:r>
    </w:p>
    <w:p>
      <w:pPr>
        <w:spacing w:line="336" w:lineRule="auto" w:after="180"/>
      </w:pPr>
      <w:r>
        <w:rPr>
          <w:b w:val="0"/>
        </w:rPr>
        <w:t>Version v2 writes schema 2. Version v1 reads only schema 1. A rollback to v1 after v2 writes data cannot safely proceed without migration or a compatible reader.</w:t>
      </w:r>
    </w:p>
    <w:p>
      <w:pPr>
        <w:spacing w:line="336" w:lineRule="auto" w:after="180"/>
      </w:pPr>
      <w:r>
        <w:rPr>
          <w:b w:val="0"/>
        </w:rPr>
        <w:t xml:space="preserve">Two 45-minute sessions. Security and </w:t>
      </w:r>
      <w:r>
        <w:rPr>
          <w:b/>
        </w:rPr>
        <w:t>privacy review</w:t>
      </w:r>
      <w:r>
        <w:rPr>
          <w:b w:val="0"/>
        </w:rPr>
        <w:t xml:space="preserve"> checks assets, actors, data flows and permissions against explicit threats. A clean happy path does not test misuse.</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security and </w:t>
      </w:r>
      <w:r>
        <w:rPr>
          <w:b/>
        </w:rPr>
        <w:t>privacy review</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security and </w:t>
      </w:r>
      <w:r>
        <w:rPr>
          <w:b/>
        </w:rPr>
        <w:t>privacy review</w:t>
      </w:r>
      <w:r>
        <w:rPr>
          <w:b w:val="0"/>
        </w:rPr>
        <w:t xml:space="preserve">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Security and privacy review using the supplied case, labelled mechanism and reasoning. Make the scope of each conclusion explicit.</w:t>
      </w:r>
    </w:p>
    <w:p>
      <w:pPr>
        <w:spacing w:line="336" w:lineRule="auto" w:after="180"/>
      </w:pPr>
      <w:r>
        <w:rPr>
          <w:b w:val="0"/>
        </w:rPr>
        <w:t xml:space="preserve">Security and </w:t>
      </w:r>
      <w:r>
        <w:rPr>
          <w:b/>
        </w:rPr>
        <w:t>privacy review</w:t>
      </w:r>
      <w:r>
        <w:rPr>
          <w:b w:val="0"/>
        </w:rPr>
        <w:t xml:space="preserve"> checks assets, actors, data flows and permissions against explicit threats. A clean happy path does not test misuse.</w:t>
      </w:r>
    </w:p>
    <w:p>
      <w:pPr>
        <w:pStyle w:val="Heading3"/>
      </w:pPr>
      <w:r>
        <w:t>Explain Security and privacy review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For the classroom service identify restricted guides, session secrets and student content. Test denied roles, unexpected fields, source injection and minimised logging without real credentials.</w:t>
      </w:r>
    </w:p>
    <w:p>
      <w:pPr>
        <w:pStyle w:val="Heading3"/>
      </w:pPr>
      <w:r>
        <w:t>Explain Security and privacy review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Threat model</w:t>
            </w:r>
          </w:p>
        </w:tc>
        <w:tc>
          <w:tcPr>
            <w:tcW w:type="dxa" w:w="5112"/>
          </w:tcPr>
          <w:p>
            <w:r>
              <w:t>Assets, actors and failure assumptions considered</w:t>
            </w:r>
          </w:p>
        </w:tc>
      </w:tr>
      <w:tr>
        <w:tc>
          <w:tcPr>
            <w:tcW w:type="dxa" w:w="5112"/>
          </w:tcPr>
          <w:p>
            <w:r>
              <w:t>Attack surface</w:t>
            </w:r>
          </w:p>
        </w:tc>
        <w:tc>
          <w:tcPr>
            <w:tcW w:type="dxa" w:w="5112"/>
          </w:tcPr>
          <w:p>
            <w:r>
              <w:t>The inputs and routes through which behaviour can be influenced</w:t>
            </w:r>
          </w:p>
        </w:tc>
      </w:tr>
      <w:tr>
        <w:tc>
          <w:tcPr>
            <w:tcW w:type="dxa" w:w="5112"/>
          </w:tcPr>
          <w:p>
            <w:r>
              <w:t>Privacy review</w:t>
            </w:r>
          </w:p>
        </w:tc>
        <w:tc>
          <w:tcPr>
            <w:tcW w:type="dxa" w:w="5112"/>
          </w:tcPr>
          <w:p>
            <w:r>
              <w:t>A check of purpose, access and data handling</w:t>
            </w:r>
          </w:p>
        </w:tc>
      </w:tr>
    </w:tbl>
    <w:p>
      <w:pPr>
        <w:pStyle w:val="Heading3"/>
      </w:pPr>
      <w:r>
        <w:t>Security and privacy review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Output denies teacher guide, but cache contains it under a student-accessible key.</w:t>
            </w:r>
          </w:p>
        </w:tc>
        <w:tc>
          <w:tcPr>
            <w:tcW w:type="dxa" w:w="3408"/>
          </w:tcPr>
          <w:p>
            <w:r>
              <w:t>For the classroom service identify restricted guides, session secrets and student content. Test denied roles, unexpected fields, source injection and minimised logging without real credentials.</w:t>
            </w:r>
          </w:p>
        </w:tc>
        <w:tc>
          <w:tcPr>
            <w:tcW w:type="dxa" w:w="3408"/>
          </w:tcPr>
          <w:p>
            <w:r>
              <w:t>Access remains broken through the cache path. Review every storage/return path and assert restricted data never reaches student output/context.</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Security and privacy review · 3</w:t>
      </w:r>
    </w:p>
    <w:p>
      <w:pPr>
        <w:spacing w:line="336" w:lineRule="auto" w:after="180"/>
      </w:pPr>
      <w:r>
        <w:rPr>
          <w:b w:val="0"/>
        </w:rPr>
        <w:t xml:space="preserve">Guided: Access remains broken through the cache path. Review every storage/return path and assert restricted data never reaches student </w:t>
      </w:r>
      <w:r>
        <w:rPr>
          <w:b/>
        </w:rPr>
        <w:t>output</w:t>
      </w:r>
      <w:r>
        <w:rPr>
          <w:b w:val="0"/>
        </w:rPr>
        <w:t>/context.</w:t>
      </w:r>
    </w:p>
    <w:p>
      <w:pPr>
        <w:spacing w:line="336" w:lineRule="auto" w:after="180"/>
      </w:pPr>
      <w:r>
        <w:rPr>
          <w:b w:val="0"/>
        </w:rPr>
        <w:t>Qualification: Review findings are bounded by tested paths and threat assumptions, not a proof of complete security.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rPr>
        <w:t>Output</w:t>
      </w:r>
      <w:r>
        <w:rPr>
          <w:b w:val="0"/>
        </w:rPr>
        <w:t xml:space="preserve"> denies teacher guide, but cache contains it under a student-accessible key.</w:t>
      </w:r>
    </w:p>
    <w:p>
      <w:pPr>
        <w:spacing w:line="336" w:lineRule="auto" w:after="180"/>
      </w:pPr>
      <w:r>
        <w:rPr>
          <w:b w:val="0"/>
        </w:rPr>
        <w:t xml:space="preserve">Access remains broken through the cache path. Review every storage/return path and assert restricted data never reaches student </w:t>
      </w:r>
      <w:r>
        <w:rPr>
          <w:b/>
        </w:rPr>
        <w:t>output</w:t>
      </w:r>
      <w:r>
        <w:rPr>
          <w:b w:val="0"/>
        </w:rPr>
        <w:t>/context.</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Security and privacy review</w:t>
      </w:r>
    </w:p>
    <w:p>
      <w:pPr>
        <w:spacing w:line="336" w:lineRule="auto" w:after="180"/>
      </w:pPr>
      <w:r>
        <w:rPr>
          <w:b w:val="0"/>
        </w:rPr>
        <w:t>Review a private note’s path. A revision service reads a learner’s private practice note; analytics need counts only.</w:t>
      </w:r>
    </w:p>
    <w:p>
      <w:pPr>
        <w:pStyle w:val="Heading3"/>
      </w:pPr>
      <w:r>
        <w:t>The facts we will use</w:t>
      </w:r>
    </w:p>
    <w:p>
      <w:pPr>
        <w:pStyle w:val="Heading3"/>
      </w:pPr>
      <w:r>
        <w:t>Supplied facts</w:t>
      </w:r>
    </w:p>
    <w:p>
      <w:pPr>
        <w:spacing w:line="336" w:lineRule="auto" w:after="180"/>
        <w:shd w:fill="F1F6FC"/>
      </w:pPr>
      <w:r>
        <w:rPr>
          <w:b w:val="0"/>
        </w:rPr>
        <w:t>Only the learner and assigned teacher may read note text. The dashboard is authorised for aggregate counts, not notes.</w:t>
      </w:r>
    </w:p>
    <w:p>
      <w:r>
        <w:drawing>
          <wp:inline xmlns:a="http://schemas.openxmlformats.org/drawingml/2006/main" xmlns:pic="http://schemas.openxmlformats.org/drawingml/2006/picture">
            <wp:extent cx="5486400" cy="5145314"/>
            <wp:docPr id="1" name="Picture 1" descr="Security and privacy review. Map content path: The authorised revision service receives the note.. Check readers: The stated learner and teacher can retrieve its text.. Minimise analytics: Send revision counts without copying private notes."/>
            <wp:cNvGraphicFramePr>
              <a:graphicFrameLocks noChangeAspect="1"/>
            </wp:cNvGraphicFramePr>
            <a:graphic>
              <a:graphicData uri="http://schemas.openxmlformats.org/drawingml/2006/picture">
                <pic:pic>
                  <pic:nvPicPr>
                    <pic:cNvPr id="0" name="academy-visual-ai-6-30.png"/>
                    <pic:cNvPicPr/>
                  </pic:nvPicPr>
                  <pic:blipFill>
                    <a:blip r:embed="rId9"/>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Map content path</w:t>
            </w:r>
          </w:p>
        </w:tc>
        <w:tc>
          <w:tcPr>
            <w:tcW w:type="dxa" w:w="5112"/>
          </w:tcPr>
          <w:p>
            <w:r>
              <w:t>The authorised revision service receives the note.</w:t>
            </w:r>
          </w:p>
        </w:tc>
      </w:tr>
      <w:tr>
        <w:tc>
          <w:tcPr>
            <w:tcW w:type="dxa" w:w="5112"/>
          </w:tcPr>
          <w:p>
            <w:r>
              <w:t>2. Check readers</w:t>
            </w:r>
          </w:p>
        </w:tc>
        <w:tc>
          <w:tcPr>
            <w:tcW w:type="dxa" w:w="5112"/>
          </w:tcPr>
          <w:p>
            <w:r>
              <w:t>The stated learner and teacher can retrieve its text.</w:t>
            </w:r>
          </w:p>
        </w:tc>
      </w:tr>
      <w:tr>
        <w:tc>
          <w:tcPr>
            <w:tcW w:type="dxa" w:w="5112"/>
          </w:tcPr>
          <w:p>
            <w:r>
              <w:t>3. Minimise analytics</w:t>
            </w:r>
          </w:p>
        </w:tc>
        <w:tc>
          <w:tcPr>
            <w:tcW w:type="dxa" w:w="5112"/>
          </w:tcPr>
          <w:p>
            <w:r>
              <w:t>Send revision counts without copying private notes.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privacy review</w:t>
      </w:r>
      <w:r>
        <w:rPr>
          <w:b w:val="0"/>
        </w:rPr>
        <w:t xml:space="preserve"> follows data and authority through components. A useful dashboard does not automatically need every underlying private detail.</w:t>
      </w:r>
    </w:p>
    <w:p>
      <w:pPr>
        <w:pStyle w:val="Heading3"/>
      </w:pPr>
      <w:r>
        <w:t>What this example does not establish</w:t>
      </w:r>
    </w:p>
    <w:p>
      <w:pPr>
        <w:pStyle w:val="Heading3"/>
      </w:pPr>
      <w:r>
        <w:t>Keep the stated limit</w:t>
      </w:r>
    </w:p>
    <w:p>
      <w:pPr>
        <w:spacing w:line="336" w:lineRule="auto" w:after="180"/>
        <w:shd w:fill="FFF5E6"/>
      </w:pPr>
      <w:r>
        <w:rPr>
          <w:b w:val="0"/>
        </w:rPr>
        <w:t>Tiny-group aggregates can still reveal individuals; evaluate linkability, access and retention.</w:t>
      </w:r>
    </w:p>
    <w:p>
      <w:pPr>
        <w:pStyle w:val="Heading3"/>
      </w:pPr>
      <w:r>
        <w:t>Change one thing in the pictured case</w:t>
      </w:r>
    </w:p>
    <w:p>
      <w:pPr>
        <w:pStyle w:val="Heading3"/>
      </w:pPr>
      <w:r>
        <w:t>Change one thing</w:t>
      </w:r>
    </w:p>
    <w:p>
      <w:pPr>
        <w:spacing w:line="336" w:lineRule="auto" w:after="180"/>
        <w:shd w:fill="F5F1FB"/>
      </w:pPr>
      <w:r>
        <w:rPr>
          <w:b w:val="0"/>
        </w:rPr>
        <w:t>Change: The dashboard starts storing full notes.</w:t>
      </w:r>
    </w:p>
    <w:p>
      <w:pPr>
        <w:pStyle w:val="Heading3"/>
      </w:pPr>
      <w:r>
        <w:t>Predicted result</w:t>
      </w:r>
    </w:p>
    <w:p>
      <w:pPr>
        <w:spacing w:line="336" w:lineRule="auto" w:after="180"/>
        <w:shd w:fill="F1F6FC"/>
      </w:pPr>
      <w:r>
        <w:rPr>
          <w:b/>
        </w:rPr>
        <w:t>Prediction</w:t>
      </w:r>
      <w:r>
        <w:rPr>
          <w:b w:val="0"/>
        </w:rPr>
        <w:t>: Flag the unapproved content path and remove it from the design.</w:t>
      </w:r>
    </w:p>
    <w:p>
      <w:pPr>
        <w:pStyle w:val="Heading3"/>
      </w:pPr>
      <w:r>
        <w:t>Why the result follows</w:t>
      </w:r>
    </w:p>
    <w:p>
      <w:pPr>
        <w:spacing w:line="336" w:lineRule="auto" w:after="180"/>
        <w:shd w:fill="F1F6FC"/>
      </w:pPr>
      <w:r>
        <w:rPr>
          <w:b w:val="0"/>
        </w:rPr>
        <w:t>Reason: Its count-only purpose does not grant note-reading permission.</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Security and privacy review,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 xml:space="preserve">Completion task: </w:t>
      </w:r>
      <w:r>
        <w:rPr>
          <w:b/>
        </w:rPr>
        <w:t>Output</w:t>
      </w:r>
      <w:r>
        <w:rPr>
          <w:b w:val="0"/>
        </w:rPr>
        <w:t xml:space="preserve"> denies teacher guide, but cache contains it under a student-accessible key.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Access remains broken through the cache path. Review every storage/return path and assert restricted data never reaches student </w:t>
      </w:r>
      <w:r>
        <w:rPr>
          <w:b/>
        </w:rPr>
        <w:t>output</w:t>
      </w:r>
      <w:r>
        <w:rPr>
          <w:b w:val="0"/>
        </w:rPr>
        <w:t>/context.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Security and </w:t>
      </w:r>
      <w:r>
        <w:rPr>
          <w:b/>
        </w:rPr>
        <w:t>privacy review</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Review findings are bounded by tested paths and threat assumptions, not a proof of complete security.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Trace private note content and analytics counts to their permitted readers. Why is storing full notes in the dashboard outside this design, and what risk can remain for tiny-group counts?</w:t>
      </w:r>
    </w:p>
    <w:p>
      <w:pPr>
        <w:pStyle w:val="Heading3"/>
      </w:pPr>
      <w:r>
        <w:t>Reasoned teacher answer</w:t>
      </w:r>
    </w:p>
    <w:p>
      <w:pPr>
        <w:spacing w:line="336" w:lineRule="auto" w:after="180"/>
      </w:pPr>
      <w:r>
        <w:rPr>
          <w:b w:val="0"/>
        </w:rPr>
        <w:t>The authorised revision service receives the note. The stated learner and teacher can retrieve its text. Send revision counts without copying private notes.</w:t>
      </w:r>
    </w:p>
    <w:p>
      <w:pPr>
        <w:spacing w:line="336" w:lineRule="auto" w:after="180"/>
      </w:pPr>
      <w:r>
        <w:rPr>
          <w:b w:val="0"/>
        </w:rPr>
        <w:t>Changed case: Flag the unapproved content path and remove it from the design. Its count-only purpose does not grant note-reading permission. Tiny-group counts can remain identifying, so minimise and review them too.</w:t>
      </w:r>
    </w:p>
    <w:p>
      <w:pPr>
        <w:spacing w:line="336" w:lineRule="auto" w:after="180"/>
      </w:pPr>
      <w:r>
        <w:rPr>
          <w:b w:val="0"/>
        </w:rPr>
        <w:t>Changed-case reasoning: Flag the unapproved content path and remove it from the design. Its count-only purpose does not grant note-reading permission.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Security and privacy review investigation and use the first unsupported step to choose a teaching response.</w:t>
      </w:r>
    </w:p>
    <w:p>
      <w:pPr>
        <w:spacing w:line="336" w:lineRule="auto" w:after="180"/>
      </w:pPr>
      <w:r>
        <w:rPr>
          <w:b w:val="0"/>
        </w:rPr>
        <w:t>The worked result establishes every future case: Review findings are bounded by tested paths and threat assumptions, not a proof of complete security.</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Security and privacy review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Access remains broken through the cache path. Review every storage/return path and assert restricted data never reaches student </w:t>
      </w:r>
      <w:r>
        <w:rPr>
          <w:b/>
        </w:rPr>
        <w:t>output</w:t>
      </w:r>
      <w:r>
        <w:rPr>
          <w:b w:val="0"/>
        </w:rPr>
        <w:t>/context.</w:t>
      </w:r>
    </w:p>
    <w:p>
      <w:pPr>
        <w:spacing w:line="336" w:lineRule="auto" w:after="180"/>
      </w:pPr>
      <w:r>
        <w:rPr>
          <w:b w:val="0"/>
        </w:rPr>
        <w:t>Qualification: Review findings are bounded by tested paths and threat assumptions, not a proof of complete security.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Security and </w:t>
      </w:r>
      <w:r>
        <w:rPr>
          <w:b/>
        </w:rPr>
        <w:t>privacy review</w:t>
      </w:r>
      <w:r>
        <w:rPr>
          <w:b w:val="0"/>
        </w:rPr>
        <w:t xml:space="preserve"> checks assets, actors, data flows and permissions against explicit threats. A clean happy path does not test misuse.</w:t>
      </w:r>
    </w:p>
    <w:p>
      <w:pPr>
        <w:spacing w:line="336" w:lineRule="auto" w:after="180"/>
        <w:shd w:fill="F1F6FC"/>
      </w:pPr>
      <w:r>
        <w:rPr>
          <w:b w:val="0"/>
        </w:rPr>
        <w:t>For the classroom service identify restricted guides, session secrets and student content. Test denied roles, unexpected fields, source injection and minimised logging without real credentials.</w:t>
      </w:r>
    </w:p>
    <w:p>
      <w:pPr>
        <w:pStyle w:val="Heading3"/>
      </w:pPr>
      <w:r>
        <w:t>W2 Trace the worked case</w:t>
      </w:r>
    </w:p>
    <w:p>
      <w:pPr>
        <w:pStyle w:val="Heading3"/>
      </w:pPr>
      <w:r>
        <w:t>Workbook question · W2</w:t>
      </w:r>
    </w:p>
    <w:p>
      <w:pPr>
        <w:spacing w:line="336" w:lineRule="auto" w:after="180"/>
        <w:shd w:fill="F5F1FB"/>
      </w:pPr>
      <w:r>
        <w:rPr>
          <w:b/>
        </w:rPr>
        <w:t>Output</w:t>
      </w:r>
      <w:r>
        <w:rPr>
          <w:b w:val="0"/>
        </w:rPr>
        <w:t xml:space="preserve"> denies teacher guide, but cache contains it under a student-accessible key. Show the intermediate steps and give the conclusion with its scope.</w:t>
      </w:r>
    </w:p>
    <w:p>
      <w:pPr>
        <w:pStyle w:val="Heading3"/>
      </w:pPr>
      <w:r>
        <w:t>Teacher reasoning · W2</w:t>
      </w:r>
    </w:p>
    <w:p>
      <w:pPr>
        <w:spacing w:line="336" w:lineRule="auto" w:after="180"/>
        <w:shd w:fill="F1F6FC"/>
      </w:pPr>
      <w:r>
        <w:rPr>
          <w:b w:val="0"/>
        </w:rPr>
        <w:t xml:space="preserve">Teacher explanation: Access remains broken through the cache path. Review every storage/return path and assert restricted data never reaches student </w:t>
      </w:r>
      <w:r>
        <w:rPr>
          <w:b/>
        </w:rPr>
        <w:t>output</w:t>
      </w:r>
      <w:r>
        <w:rPr>
          <w:b w:val="0"/>
        </w:rPr>
        <w:t>/context.</w:t>
      </w:r>
    </w:p>
    <w:p>
      <w:pPr>
        <w:pStyle w:val="Heading3"/>
      </w:pPr>
      <w:r>
        <w:t>W3 Audit the limit</w:t>
      </w:r>
    </w:p>
    <w:p>
      <w:pPr>
        <w:pStyle w:val="Heading3"/>
      </w:pPr>
      <w:r>
        <w:t>Workbook question · W3</w:t>
      </w:r>
    </w:p>
    <w:p>
      <w:pPr>
        <w:spacing w:line="336" w:lineRule="auto" w:after="180"/>
        <w:shd w:fill="F5F1FB"/>
      </w:pPr>
      <w:r>
        <w:rPr>
          <w:b w:val="0"/>
        </w:rPr>
        <w:t>A report omits this qualification: Review findings are bounded by tested paths and threat assumptions, not a proof of complete security.</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Review findings are bounded by tested paths and threat assumptions, not a proof of complete security.</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Service blocks direct teacher lookup but diagnostic export includes full teacher answers. Identify defect and a test.</w:t>
      </w:r>
    </w:p>
    <w:p>
      <w:pPr>
        <w:pStyle w:val="Heading3"/>
      </w:pPr>
      <w:r>
        <w:t>Teacher reasoning · W4</w:t>
      </w:r>
    </w:p>
    <w:p>
      <w:pPr>
        <w:spacing w:line="336" w:lineRule="auto" w:after="180"/>
        <w:shd w:fill="F1F6FC"/>
      </w:pPr>
      <w:r>
        <w:rPr>
          <w:b w:val="0"/>
        </w:rPr>
        <w:t>Teacher explanation: Diagnostic export bypasses confidentiality. Use a teacher-only authorised export or minimised metadata; test student requests against every export route.</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Review findings are bounded by tested paths and threat assumptions, not a proof of complete security.</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Diagnostic export bypasses confidentiality. Use a teacher-only authorised export or minimised metadata; test student requests against every export route. Require intermediate reasoning and the stated scope.</w:t>
      </w:r>
    </w:p>
    <w:p>
      <w:pPr>
        <w:spacing w:line="336" w:lineRule="auto" w:after="180"/>
        <w:shd w:fill="F1F6FC"/>
      </w:pPr>
      <w:r>
        <w:rPr>
          <w:b w:val="0"/>
        </w:rPr>
        <w:t xml:space="preserve">Fresh retry: Secrets hidden from responses but included in error logs. Expected reasoning: Logging leaks the protected asset. Check logs, access and retention as well as response </w:t>
      </w:r>
      <w:r>
        <w:rPr>
          <w:b/>
        </w:rPr>
        <w:t>output</w:t>
      </w:r>
      <w:r>
        <w:rPr>
          <w:b w:val="0"/>
        </w:rPr>
        <w:t>.</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Service blocks direct teacher lookup but diagnostic export includes full teacher answers. Identify defect and a test.</w:t>
      </w:r>
    </w:p>
    <w:p>
      <w:pPr>
        <w:pStyle w:val="Heading3"/>
      </w:pPr>
      <w:r>
        <w:t>Selected case answer</w:t>
      </w:r>
    </w:p>
    <w:p>
      <w:pPr>
        <w:pStyle w:val="Heading3"/>
      </w:pPr>
      <w:r>
        <w:t>Teacher key · Selected case answer</w:t>
      </w:r>
    </w:p>
    <w:p>
      <w:pPr>
        <w:spacing w:line="336" w:lineRule="auto" w:after="180"/>
        <w:shd w:fill="F1F6FC"/>
      </w:pPr>
      <w:r>
        <w:rPr>
          <w:b w:val="0"/>
        </w:rPr>
        <w:t>Teacher explanation: Diagnostic export bypasses confidentiality. Use a teacher-only authorised export or minimised metadata; test student requests against every export route.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Security and privacy review to Grounded Learning Service, adapt support and plan a later changed-case check.</w:t>
      </w:r>
    </w:p>
    <w:p>
      <w:pPr>
        <w:spacing w:line="336" w:lineRule="auto" w:after="180"/>
      </w:pPr>
      <w:r>
        <w:rPr>
          <w:b w:val="0"/>
        </w:rPr>
        <w:t xml:space="preserve">Add a labelled security and </w:t>
      </w:r>
      <w:r>
        <w:rPr>
          <w:b/>
        </w:rPr>
        <w:t>privacy review</w:t>
      </w:r>
      <w:r>
        <w:rPr>
          <w:b w:val="0"/>
        </w:rPr>
        <w:t xml:space="preserve"> </w:t>
      </w:r>
      <w:r>
        <w:rPr>
          <w:b/>
        </w:rPr>
        <w:t>evidence</w:t>
      </w:r>
      <w:r>
        <w:rPr>
          <w:b w:val="0"/>
        </w:rPr>
        <w:t xml:space="preserve"> sheet to Grounded Learning Service. Show how you can explain the </w:t>
      </w:r>
      <w:r>
        <w:rPr>
          <w:b/>
        </w:rPr>
        <w:t>mechanism</w:t>
      </w:r>
      <w:r>
        <w:rPr>
          <w:b w:val="0"/>
        </w:rPr>
        <w:t xml:space="preserve"> and terminology of security and </w:t>
      </w:r>
      <w:r>
        <w:rPr>
          <w:b/>
        </w:rPr>
        <w:t>privacy review</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Red team exercises.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ai-6/31, ai-6/33, ai-6/36.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Security and privacy review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security and </w:t>
      </w:r>
      <w:r>
        <w:rPr>
          <w:b/>
        </w:rPr>
        <w:t>privacy review</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w:t>
      </w:r>
      <w:r>
        <w:rPr>
          <w:b/>
        </w:rPr>
        <w:t>Output</w:t>
      </w:r>
      <w:r>
        <w:rPr>
          <w:b w:val="0"/>
        </w:rPr>
        <w:t xml:space="preserve"> denies teacher guide, but cache contains it under a student-accessible key.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Access remains broken through the cache path. Review every storage/return path and assert restricted data never reaches student </w:t>
      </w:r>
      <w:r>
        <w:rPr>
          <w:b/>
        </w:rPr>
        <w:t>output</w:t>
      </w:r>
      <w:r>
        <w:rPr>
          <w:b w:val="0"/>
        </w:rPr>
        <w:t>/context.</w:t>
      </w:r>
    </w:p>
    <w:p>
      <w:pPr>
        <w:spacing w:line="336" w:lineRule="auto" w:after="180"/>
      </w:pPr>
      <w:r>
        <w:rPr>
          <w:b w:val="0"/>
        </w:rPr>
        <w:t xml:space="preserve">Check every learner before discussion: Use the worked case for Security and </w:t>
      </w:r>
      <w:r>
        <w:rPr>
          <w:b/>
        </w:rPr>
        <w:t>privacy review</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Review findings are bounded by tested paths and threat assumptions, not a proof of complete security.</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dashboard starts storing full notes. Require a </w:t>
      </w:r>
      <w:r>
        <w:rPr>
          <w:b/>
        </w:rPr>
        <w:t>prediction</w:t>
      </w:r>
      <w:r>
        <w:rPr>
          <w:b w:val="0"/>
        </w:rPr>
        <w:t xml:space="preserve"> and a reason before comparing. Expected result: Flag the unapproved content path and remove it from the design.</w:t>
      </w:r>
    </w:p>
    <w:p>
      <w:pPr>
        <w:spacing w:line="336" w:lineRule="auto" w:after="180"/>
        <w:shd w:fill="F5F1FB"/>
      </w:pPr>
      <w:r>
        <w:rPr>
          <w:b w:val="0"/>
        </w:rPr>
        <w:t>Reason: Its count-only purpose does not grant note-reading permission.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Security and privacy review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Security and privacy review: the case</w:t>
      </w:r>
    </w:p>
    <w:p>
      <w:r>
        <w:drawing>
          <wp:inline xmlns:a="http://schemas.openxmlformats.org/drawingml/2006/main" xmlns:pic="http://schemas.openxmlformats.org/drawingml/2006/picture">
            <wp:extent cx="5486400" cy="2834640"/>
            <wp:docPr id="2" name="Picture 2" descr="Review a private note’s path. A revision service reads a learner’s private practice note; analytics need counts only. Supplied facts: Only the learner and assigned teacher may read note text. The dashboard is authorised for aggregate counts, not notes."/>
            <wp:cNvGraphicFramePr>
              <a:graphicFrameLocks noChangeAspect="1"/>
            </wp:cNvGraphicFramePr>
            <a:graphic>
              <a:graphicData uri="http://schemas.openxmlformats.org/drawingml/2006/picture">
                <pic:pic>
                  <pic:nvPicPr>
                    <pic:cNvPr id="0" name="academy-story-ai-6-30-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Review a private note’s path. A revision service reads a learner’s private practice note; analytics need counts only. Supplied facts: Only the learner and assigned teacher may read note text.</w:t>
      </w:r>
    </w:p>
    <w:p>
      <w:pPr>
        <w:spacing w:line="336" w:lineRule="auto" w:after="180"/>
      </w:pPr>
      <w:r>
        <w:rPr>
          <w:b w:val="0"/>
        </w:rPr>
        <w:t>The dashboard is authorised for aggregate counts, not notes.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Map content path: The authorised revision service receives the note. → Check readers: The stated learner and teacher can retrieve its text. → Minimise analytics: Send revision counts without copying private notes."/>
            <wp:cNvGraphicFramePr>
              <a:graphicFrameLocks noChangeAspect="1"/>
            </wp:cNvGraphicFramePr>
            <a:graphic>
              <a:graphicData uri="http://schemas.openxmlformats.org/drawingml/2006/picture">
                <pic:pic>
                  <pic:nvPicPr>
                    <pic:cNvPr id="0" name="academy-story-ai-6-30-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Map content path: The authorised revision service receives the note. → Check readers: The stated learner and teacher can retrieve its text. → Minimise analytics: Send revision counts without copying private notes.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Security and privacy review — evidence trace</w:t>
      </w:r>
    </w:p>
    <w:p>
      <w:r>
        <w:drawing>
          <wp:inline xmlns:a="http://schemas.openxmlformats.org/drawingml/2006/main" xmlns:pic="http://schemas.openxmlformats.org/drawingml/2006/picture">
            <wp:extent cx="5486400" cy="2996184"/>
            <wp:docPr id="4" name="Picture 4" descr="Security and privacy review — evidence trace. Output denies teacher guide, but cache contains it under a student-accessible key. | For the classroom service identify restricted guides, session secrets and student content. Test denied roles, unexpected fields, source injection and minimised logging without real credentials. | Access remains broken through the cache path. Review every storage/return path and assert restricted data never reaches student output/context."/>
            <wp:cNvGraphicFramePr>
              <a:graphicFrameLocks noChangeAspect="1"/>
            </wp:cNvGraphicFramePr>
            <a:graphic>
              <a:graphicData uri="http://schemas.openxmlformats.org/drawingml/2006/picture">
                <pic:pic>
                  <pic:nvPicPr>
                    <pic:cNvPr id="0" name="academy-story-ai-6-30-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Security and </w:t>
      </w:r>
      <w:r>
        <w:rPr>
          <w:b/>
        </w:rPr>
        <w:t>privacy review</w:t>
      </w:r>
      <w:r>
        <w:rPr>
          <w:b w:val="0"/>
        </w:rPr>
        <w:t xml:space="preserve"> — </w:t>
      </w:r>
      <w:r>
        <w:rPr>
          <w:b/>
        </w:rPr>
        <w:t>evidence</w:t>
      </w:r>
      <w:r>
        <w:rPr>
          <w:b w:val="0"/>
        </w:rPr>
        <w:t xml:space="preserve"> trace. </w:t>
      </w:r>
      <w:r>
        <w:rPr>
          <w:b/>
        </w:rPr>
        <w:t>Output</w:t>
      </w:r>
      <w:r>
        <w:rPr>
          <w:b w:val="0"/>
        </w:rPr>
        <w:t xml:space="preserve"> denies teacher guide, but cache contains it under a student-accessible key. | For the classroom service identify restricted guides, session secrets and student content.</w:t>
      </w:r>
    </w:p>
    <w:p>
      <w:pPr>
        <w:spacing w:line="336" w:lineRule="auto" w:after="180"/>
      </w:pPr>
      <w:r>
        <w:rPr>
          <w:b w:val="0"/>
        </w:rPr>
        <w:t>Test denied roles, unexpected fields, source injection and minimised logging without real credentials. | Access remains broken through the cache path.</w:t>
      </w:r>
    </w:p>
    <w:p>
      <w:pPr>
        <w:spacing w:line="336" w:lineRule="auto" w:after="180"/>
      </w:pPr>
      <w:r>
        <w:rPr>
          <w:b w:val="0"/>
        </w:rPr>
        <w:t xml:space="preserve">Review every storage/return path and assert restricted data never reaches student </w:t>
      </w:r>
      <w:r>
        <w:rPr>
          <w:b/>
        </w:rPr>
        <w:t>output</w:t>
      </w:r>
      <w:r>
        <w:rPr>
          <w:b w:val="0"/>
        </w:rPr>
        <w:t>/context.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Send revision counts without copying private notes. Changed condition: The dashboard starts storing full notes. Expected result: Flag the unapproved content path and remove it from the design. Reason: Its count-only purpose does not grant note-reading permission."/>
            <wp:cNvGraphicFramePr>
              <a:graphicFrameLocks noChangeAspect="1"/>
            </wp:cNvGraphicFramePr>
            <a:graphic>
              <a:graphicData uri="http://schemas.openxmlformats.org/drawingml/2006/picture">
                <pic:pic>
                  <pic:nvPicPr>
                    <pic:cNvPr id="0" name="academy-story-ai-6-30-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Send revision counts without copying private notes. Changed condition: The dashboard starts storing full notes. Expected result: Flag the unapproved content path and remove it from the design.</w:t>
      </w:r>
    </w:p>
    <w:p>
      <w:pPr>
        <w:spacing w:line="336" w:lineRule="auto" w:after="180"/>
      </w:pPr>
      <w:r>
        <w:rPr>
          <w:b w:val="0"/>
        </w:rPr>
        <w:t>Reason: Its count-only purpose does not grant note-reading permission.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Its count-only purpose does not grant note-reading permission.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privacy review follows data and authority through components. A useful dashboard does not automatically need every underlying private detail. Limit: Tiny-group aggregates can still reveal individuals; evaluate linkability, access and retention."/>
            <wp:cNvGraphicFramePr>
              <a:graphicFrameLocks noChangeAspect="1"/>
            </wp:cNvGraphicFramePr>
            <a:graphic>
              <a:graphicData uri="http://schemas.openxmlformats.org/drawingml/2006/picture">
                <pic:pic>
                  <pic:nvPicPr>
                    <pic:cNvPr id="0" name="academy-story-ai-6-3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privacy review</w:t>
      </w:r>
      <w:r>
        <w:rPr>
          <w:b w:val="0"/>
        </w:rPr>
        <w:t xml:space="preserve"> follows data and authority through components. A useful dashboard does not automatically need every underlying private detail.</w:t>
      </w:r>
    </w:p>
    <w:p>
      <w:pPr>
        <w:spacing w:line="336" w:lineRule="auto" w:after="180"/>
      </w:pPr>
      <w:r>
        <w:rPr>
          <w:b w:val="0"/>
        </w:rPr>
        <w:t>Limit: Tiny-group aggregates can still reveal individuals; evaluate linkability, access and retention.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Tiny-group aggregates can still reveal individuals; evaluate linkability, access and retention.</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Trace private note content and analytics counts to their permitted readers. Why is storing full notes in the dashboard outside this design, and what risk can remain for tiny-group counts?"/>
            <wp:cNvGraphicFramePr>
              <a:graphicFrameLocks noChangeAspect="1"/>
            </wp:cNvGraphicFramePr>
            <a:graphic>
              <a:graphicData uri="http://schemas.openxmlformats.org/drawingml/2006/picture">
                <pic:pic>
                  <pic:nvPicPr>
                    <pic:cNvPr id="0" name="academy-story-ai-6-30-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Trace private note content and analytics counts to their permitted readers.</w:t>
      </w:r>
    </w:p>
    <w:p>
      <w:pPr>
        <w:spacing w:line="336" w:lineRule="auto" w:after="180"/>
      </w:pPr>
      <w:r>
        <w:rPr>
          <w:b w:val="0"/>
        </w:rPr>
        <w:t>Why is storing full notes in the dashboard outside this design, and what risk can remain for tiny-group counts?</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authorised revision service receives the note. The stated learner and teacher can retrieve its text. Send revision counts without copying private notes.</w:t>
      </w:r>
    </w:p>
    <w:p>
      <w:pPr>
        <w:spacing w:line="336" w:lineRule="auto" w:after="180"/>
        <w:shd w:fill="F1F6F8"/>
      </w:pPr>
      <w:r>
        <w:rPr>
          <w:b w:val="0"/>
        </w:rPr>
        <w:t>Changed case: Flag the unapproved content path and remove it from the design. Its count-only purpose does not grant note-reading permission. Tiny-group counts can remain identifying, so minimise and review them too.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