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ai-7/18</w:t>
      </w:r>
    </w:p>
    <w:p>
      <w:pPr>
        <w:pStyle w:val="Title"/>
      </w:pPr>
      <w:r>
        <w:t>Dataset and benchmark limitations</w:t>
      </w:r>
    </w:p>
    <w:p>
      <w:r>
        <w:t>Project: Reproducible AI Research Study</w:t>
      </w:r>
    </w:p>
    <w:p>
      <w:pPr>
        <w:pStyle w:val="Heading1"/>
      </w:pPr>
      <w:r>
        <w:t>01. Prepare the purpose, prerequisites and materials</w:t>
      </w:r>
    </w:p>
    <w:p>
      <w:r>
        <w:t>Prepare Dataset and benchmark limitations: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dataset and </w:t>
      </w:r>
      <w:r>
        <w:rPr>
          <w:b/>
        </w:rPr>
        <w:t>benchmark</w:t>
      </w:r>
      <w:r>
        <w:rPr>
          <w:b w:val="0"/>
        </w:rPr>
        <w:t xml:space="preserve"> limitations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Sensitivity analysis</w:t>
      </w:r>
    </w:p>
    <w:p>
      <w:pPr>
        <w:spacing w:line="336" w:lineRule="auto" w:after="180"/>
      </w:pPr>
      <w:r>
        <w:rPr>
          <w:b w:val="0"/>
        </w:rPr>
        <w:t>Without opening the old lesson, explain one key idea from Sensitivity analysis.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sensitivity analysis</w:t>
      </w:r>
    </w:p>
    <w:p>
      <w:pPr>
        <w:spacing w:line="336" w:lineRule="auto" w:after="180"/>
      </w:pPr>
      <w:r>
        <w:rPr>
          <w:b w:val="0"/>
        </w:rPr>
        <w:t>Reference example, not the only acceptable wording: Teacher explanation: Sensitivity analysis checks whether a conclusion changes under plausible settings or analysis choices.</w:t>
      </w:r>
    </w:p>
    <w:p>
      <w:pPr>
        <w:spacing w:line="336" w:lineRule="auto" w:after="180"/>
      </w:pPr>
      <w:r>
        <w:rPr>
          <w:b w:val="0"/>
        </w:rPr>
        <w:t>It should not secretly select the most favourable result. Prespecify a range and preserve all results. Distinguish robustness across settings from proof beyond the tested range.</w:t>
      </w:r>
    </w:p>
    <w:p>
      <w:pPr>
        <w:spacing w:line="336" w:lineRule="auto" w:after="180"/>
      </w:pPr>
      <w:r>
        <w:rPr>
          <w:b w:val="0"/>
        </w:rPr>
        <w:t>Settings affecting data roles require special caution.</w:t>
      </w:r>
    </w:p>
    <w:p>
      <w:pPr>
        <w:pStyle w:val="Heading3"/>
      </w:pPr>
      <w:r>
        <w:t>Multiple comparisons</w:t>
      </w:r>
    </w:p>
    <w:p>
      <w:pPr>
        <w:spacing w:line="336" w:lineRule="auto" w:after="180"/>
      </w:pPr>
      <w:r>
        <w:rPr>
          <w:b w:val="0"/>
        </w:rPr>
        <w:t>Without opening the old lesson, explain one key idea from Multiple comparisons.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multiple comparisons</w:t>
      </w:r>
    </w:p>
    <w:p>
      <w:pPr>
        <w:spacing w:line="336" w:lineRule="auto" w:after="180"/>
      </w:pPr>
      <w:r>
        <w:rPr>
          <w:b w:val="0"/>
        </w:rPr>
        <w:t>Reference example, not the only acceptable wording: Teacher explanation: Testing many hypotheses creates more chances for false discoveries. A family rule must be specified before selecting attractive p-values.</w:t>
      </w:r>
    </w:p>
    <w:p>
      <w:pPr>
        <w:spacing w:line="336" w:lineRule="auto" w:after="180"/>
      </w:pPr>
      <w:r>
        <w:rPr>
          <w:b w:val="0"/>
        </w:rPr>
        <w:t>For this exercise use Bonferroni:family alpha .05 divided by number of tests m; reject each test when its valid p-value is at most .05/m. This controls the family error by a bound without requiring independent tests.</w:t>
      </w:r>
    </w:p>
    <w:p>
      <w:pPr>
        <w:pStyle w:val="Heading3"/>
      </w:pPr>
      <w:r>
        <w:t>Uncertainty intervals</w:t>
      </w:r>
    </w:p>
    <w:p>
      <w:pPr>
        <w:spacing w:line="336" w:lineRule="auto" w:after="180"/>
      </w:pPr>
      <w:r>
        <w:rPr>
          <w:b w:val="0"/>
        </w:rPr>
        <w:t>Without opening the old lesson, explain one key idea from Uncertainty intervals.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uncertainty intervals</w:t>
      </w:r>
    </w:p>
    <w:p>
      <w:pPr>
        <w:spacing w:line="336" w:lineRule="auto" w:after="180"/>
      </w:pPr>
      <w:r>
        <w:rPr>
          <w:b w:val="0"/>
        </w:rPr>
        <w:t>Reference example, not the only acceptable wording: Teacher explanation: An uncertainty interval needs a sampling model and assumptions.</w:t>
      </w:r>
    </w:p>
    <w:p>
      <w:pPr>
        <w:spacing w:line="336" w:lineRule="auto" w:after="180"/>
      </w:pPr>
      <w:r>
        <w:rPr>
          <w:b w:val="0"/>
        </w:rPr>
        <w:t>A confidence level refers to the repeated-sampling method, not a probability attached to a fixed unknown parameter after observing data.</w:t>
      </w:r>
    </w:p>
    <w:p>
      <w:pPr>
        <w:spacing w:line="336" w:lineRule="auto" w:after="180"/>
      </w:pPr>
      <w:r>
        <w:rPr>
          <w:b w:val="0"/>
        </w:rPr>
        <w:t>For this constructed exercise assume independent normal measurements with known population standard deviation 2. A 95% mean interval uses supplied normal critical value 1.96:mean plus/minus1.96*sigma/sqrt(n).</w:t>
      </w:r>
    </w:p>
    <w:p>
      <w:pPr>
        <w:spacing w:line="336" w:lineRule="auto" w:after="180"/>
      </w:pPr>
      <w:r>
        <w:rPr>
          <w:b w:val="0"/>
        </w:rPr>
        <w:t>Unknown sigma requires a different justified method.</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A </w:t>
      </w:r>
      <w:r>
        <w:rPr>
          <w:b/>
        </w:rPr>
        <w:t>benchmark</w:t>
      </w:r>
      <w:r>
        <w:rPr>
          <w:b w:val="0"/>
        </w:rPr>
        <w:t xml:space="preserve"> measures performance on its particular data and labels. Duplicates, obsolete cases or poor coverage can weaken claims.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dataset and </w:t>
      </w:r>
      <w:r>
        <w:rPr>
          <w:b/>
        </w:rPr>
        <w:t>benchmark</w:t>
      </w:r>
      <w:r>
        <w:rPr>
          <w:b w:val="0"/>
        </w:rPr>
        <w:t xml:space="preserve"> limitations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dataset and </w:t>
      </w:r>
      <w:r>
        <w:rPr>
          <w:b/>
        </w:rPr>
        <w:t>benchmark</w:t>
      </w:r>
      <w:r>
        <w:rPr>
          <w:b w:val="0"/>
        </w:rPr>
        <w:t xml:space="preserve"> limitations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Dataset and benchmark limitations using the supplied case, labelled mechanism and reasoning. Make the scope of each conclusion explicit.</w:t>
      </w:r>
    </w:p>
    <w:p>
      <w:pPr>
        <w:spacing w:line="336" w:lineRule="auto" w:after="180"/>
      </w:pPr>
      <w:r>
        <w:rPr>
          <w:b w:val="0"/>
        </w:rPr>
        <w:t xml:space="preserve">A </w:t>
      </w:r>
      <w:r>
        <w:rPr>
          <w:b/>
        </w:rPr>
        <w:t>benchmark</w:t>
      </w:r>
      <w:r>
        <w:rPr>
          <w:b w:val="0"/>
        </w:rPr>
        <w:t xml:space="preserve"> measures performance on its particular data and labels. Duplicates, obsolete cases or poor coverage can weaken claims.</w:t>
      </w:r>
    </w:p>
    <w:p>
      <w:pPr>
        <w:pStyle w:val="Heading3"/>
      </w:pPr>
      <w:r>
        <w:t>Explain Dataset and benchmark limitations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Inspect eligibility, source dates, related units and label definitions before scoring. Deduplicate by declared unit identity, not merely file name; report excluded and unassessed cases.</w:t>
      </w:r>
    </w:p>
    <w:p>
      <w:pPr>
        <w:pStyle w:val="Heading3"/>
      </w:pPr>
      <w:r>
        <w:t>Explain Dataset and benchmark limitations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Benchmark</w:t>
            </w:r>
          </w:p>
        </w:tc>
        <w:tc>
          <w:tcPr>
            <w:tcW w:type="dxa" w:w="5112"/>
          </w:tcPr>
          <w:p>
            <w:r>
              <w:t>A declared task dataset and scoring procedure</w:t>
            </w:r>
          </w:p>
        </w:tc>
      </w:tr>
      <w:tr>
        <w:tc>
          <w:tcPr>
            <w:tcW w:type="dxa" w:w="5112"/>
          </w:tcPr>
          <w:p>
            <w:r>
              <w:t>Duplicate unit</w:t>
            </w:r>
          </w:p>
        </w:tc>
        <w:tc>
          <w:tcPr>
            <w:tcW w:type="dxa" w:w="5112"/>
          </w:tcPr>
          <w:p>
            <w:r>
              <w:t>Repeated representation of the same underlying entity</w:t>
            </w:r>
          </w:p>
        </w:tc>
      </w:tr>
      <w:tr>
        <w:tc>
          <w:tcPr>
            <w:tcW w:type="dxa" w:w="5112"/>
          </w:tcPr>
          <w:p>
            <w:r>
              <w:t>Coverage gap</w:t>
            </w:r>
          </w:p>
        </w:tc>
        <w:tc>
          <w:tcPr>
            <w:tcW w:type="dxa" w:w="5112"/>
          </w:tcPr>
          <w:p>
            <w:r>
              <w:t>A relevant condition absent from evaluated data</w:t>
            </w:r>
          </w:p>
        </w:tc>
      </w:tr>
    </w:tbl>
    <w:p>
      <w:pPr>
        <w:pStyle w:val="Heading3"/>
      </w:pPr>
      <w:r>
        <w:t>Dataset and benchmark limitations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Ten benchmark rows include three copies of one source and seven other unique sources.</w:t>
            </w:r>
          </w:p>
        </w:tc>
        <w:tc>
          <w:tcPr>
            <w:tcW w:type="dxa" w:w="3408"/>
          </w:tcPr>
          <w:p>
            <w:r>
              <w:t>Inspect eligibility, source dates, related units and label definitions before scoring. Deduplicate by declared unit identity, not merely file name; report excluded and unassessed cases.</w:t>
            </w:r>
          </w:p>
        </w:tc>
        <w:tc>
          <w:tcPr>
            <w:tcW w:type="dxa" w:w="3408"/>
          </w:tcPr>
          <w:p>
            <w:r>
              <w:t>Eight unique source units, not ten independent sources. Identify duplicate weighting before analysis; do not silently discard results.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Dataset and benchmark limitations · 3</w:t>
      </w:r>
    </w:p>
    <w:p>
      <w:pPr>
        <w:spacing w:line="336" w:lineRule="auto" w:after="180"/>
      </w:pPr>
      <w:r>
        <w:rPr>
          <w:b w:val="0"/>
        </w:rPr>
        <w:t>Guided: Eight unique source units, not ten independent sources. Identify duplicate weighting before analysis; do not silently discard results.</w:t>
      </w:r>
    </w:p>
    <w:p>
      <w:pPr>
        <w:spacing w:line="336" w:lineRule="auto" w:after="180"/>
      </w:pPr>
      <w:r>
        <w:rPr>
          <w:b w:val="0"/>
        </w:rPr>
        <w:t xml:space="preserve">Qualification: </w:t>
      </w:r>
      <w:r>
        <w:rPr>
          <w:b/>
        </w:rPr>
        <w:t>Benchmark</w:t>
      </w:r>
      <w:r>
        <w:rPr>
          <w:b w:val="0"/>
        </w:rPr>
        <w:t xml:space="preserve"> success does not establish performance on a deployment population missing from its design.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Ten </w:t>
      </w:r>
      <w:r>
        <w:rPr>
          <w:b/>
        </w:rPr>
        <w:t>benchmark</w:t>
      </w:r>
      <w:r>
        <w:rPr>
          <w:b w:val="0"/>
        </w:rPr>
        <w:t xml:space="preserve"> rows include three copies of one source and seven other unique sources.</w:t>
      </w:r>
    </w:p>
    <w:p>
      <w:pPr>
        <w:spacing w:line="336" w:lineRule="auto" w:after="180"/>
      </w:pPr>
      <w:r>
        <w:rPr>
          <w:b w:val="0"/>
        </w:rPr>
        <w:t>Eight unique source units, not ten independent sources. Identify duplicate weighting before analysis; do not silently discard results.</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Dataset and benchmark limitations</w:t>
      </w:r>
    </w:p>
    <w:p>
      <w:pPr>
        <w:spacing w:line="336" w:lineRule="auto" w:after="180"/>
      </w:pPr>
      <w:r>
        <w:rPr>
          <w:b w:val="0"/>
        </w:rPr>
        <w:t xml:space="preserve">A </w:t>
      </w:r>
      <w:r>
        <w:rPr>
          <w:b/>
        </w:rPr>
        <w:t>benchmark</w:t>
      </w:r>
      <w:r>
        <w:rPr>
          <w:b w:val="0"/>
        </w:rPr>
        <w:t xml:space="preserve"> can miss the intended setting. A plant model is evaluated on clean indoor photos but proposed for shaded outdoor photos.</w:t>
      </w:r>
    </w:p>
    <w:p>
      <w:pPr>
        <w:pStyle w:val="Heading3"/>
      </w:pPr>
      <w:r>
        <w:t>The facts we will use</w:t>
      </w:r>
    </w:p>
    <w:p>
      <w:pPr>
        <w:pStyle w:val="Heading3"/>
      </w:pPr>
      <w:r>
        <w:t>Supplied facts</w:t>
      </w:r>
    </w:p>
    <w:p>
      <w:pPr>
        <w:spacing w:line="336" w:lineRule="auto" w:after="180"/>
        <w:shd w:fill="F1F6FC"/>
      </w:pPr>
      <w:r>
        <w:rPr>
          <w:b w:val="0"/>
        </w:rPr>
        <w:t xml:space="preserve">Indoor </w:t>
      </w:r>
      <w:r>
        <w:rPr>
          <w:b/>
        </w:rPr>
        <w:t>benchmark</w:t>
      </w:r>
      <w:r>
        <w:rPr>
          <w:b w:val="0"/>
        </w:rPr>
        <w:t>: 9/10 correct. No outdoor cases are present. The same model is intended for both.</w:t>
      </w:r>
    </w:p>
    <w:p>
      <w:r>
        <w:drawing>
          <wp:inline xmlns:a="http://schemas.openxmlformats.org/drawingml/2006/main" xmlns:pic="http://schemas.openxmlformats.org/drawingml/2006/picture">
            <wp:extent cx="5486400" cy="3077029"/>
            <wp:docPr id="1" name="Picture 1" descr="Benchmark conditions"/>
            <wp:cNvGraphicFramePr>
              <a:graphicFrameLocks noChangeAspect="1"/>
            </wp:cNvGraphicFramePr>
            <a:graphic>
              <a:graphicData uri="http://schemas.openxmlformats.org/drawingml/2006/picture">
                <pic:pic>
                  <pic:nvPicPr>
                    <pic:cNvPr id="0" name="academy-detail-ai-7-18.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Dataset and benchmark limitations. Name measured setting: All ten benchmark images are clean indoor photos.. Report the result: The observed indoor score is 90%.. Name missing evidence: Outdoor shade performance remains unmeasured."/>
            <wp:cNvGraphicFramePr>
              <a:graphicFrameLocks noChangeAspect="1"/>
            </wp:cNvGraphicFramePr>
            <a:graphic>
              <a:graphicData uri="http://schemas.openxmlformats.org/drawingml/2006/picture">
                <pic:pic>
                  <pic:nvPicPr>
                    <pic:cNvPr id="0" name="academy-visual-ai-7-18.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measured setting</w:t>
            </w:r>
          </w:p>
        </w:tc>
        <w:tc>
          <w:tcPr>
            <w:tcW w:type="dxa" w:w="5112"/>
          </w:tcPr>
          <w:p>
            <w:r>
              <w:t>All ten benchmark images are clean indoor photos.</w:t>
            </w:r>
          </w:p>
        </w:tc>
      </w:tr>
      <w:tr>
        <w:tc>
          <w:tcPr>
            <w:tcW w:type="dxa" w:w="5112"/>
          </w:tcPr>
          <w:p>
            <w:r>
              <w:t>2. Report the result</w:t>
            </w:r>
          </w:p>
        </w:tc>
        <w:tc>
          <w:tcPr>
            <w:tcW w:type="dxa" w:w="5112"/>
          </w:tcPr>
          <w:p>
            <w:r>
              <w:t>The observed indoor score is 90%.</w:t>
            </w:r>
          </w:p>
        </w:tc>
      </w:tr>
      <w:tr>
        <w:tc>
          <w:tcPr>
            <w:tcW w:type="dxa" w:w="5112"/>
          </w:tcPr>
          <w:p>
            <w:r>
              <w:t>3. Name missing evidence</w:t>
            </w:r>
          </w:p>
        </w:tc>
        <w:tc>
          <w:tcPr>
            <w:tcW w:type="dxa" w:w="5112"/>
          </w:tcPr>
          <w:p>
            <w:r>
              <w:t>Outdoor shade performance remains unmeasured.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benchmark</w:t>
      </w:r>
      <w:r>
        <w:rPr>
          <w:b w:val="0"/>
        </w:rPr>
        <w:t xml:space="preserve"> represents particular tasks and collection conditions. High performance on it cannot automatically establish fitness for a different deployment setting.</w:t>
      </w:r>
    </w:p>
    <w:p>
      <w:pPr>
        <w:pStyle w:val="Heading3"/>
      </w:pPr>
      <w:r>
        <w:t>What this example does not establish</w:t>
      </w:r>
    </w:p>
    <w:p>
      <w:pPr>
        <w:pStyle w:val="Heading3"/>
      </w:pPr>
      <w:r>
        <w:t>Keep the stated limit</w:t>
      </w:r>
    </w:p>
    <w:p>
      <w:pPr>
        <w:spacing w:line="336" w:lineRule="auto" w:after="180"/>
        <w:shd w:fill="FFF5E6"/>
      </w:pPr>
      <w:r>
        <w:rPr>
          <w:b w:val="0"/>
        </w:rPr>
        <w:t>Neither slice estimates all future photos; inspect sampling, labels and grouping.</w:t>
      </w:r>
    </w:p>
    <w:p>
      <w:pPr>
        <w:pStyle w:val="Heading3"/>
      </w:pPr>
      <w:r>
        <w:t>Change one thing in the pictured case</w:t>
      </w:r>
    </w:p>
    <w:p>
      <w:pPr>
        <w:pStyle w:val="Heading3"/>
      </w:pPr>
      <w:r>
        <w:t>Change one thing</w:t>
      </w:r>
    </w:p>
    <w:p>
      <w:pPr>
        <w:spacing w:line="336" w:lineRule="auto" w:after="180"/>
        <w:shd w:fill="F5F1FB"/>
      </w:pPr>
      <w:r>
        <w:rPr>
          <w:b w:val="0"/>
        </w:rPr>
        <w:t>Change: Add four reserved outdoor cases, of which two are correct.</w:t>
      </w:r>
    </w:p>
    <w:p>
      <w:pPr>
        <w:pStyle w:val="Heading3"/>
      </w:pPr>
      <w:r>
        <w:t>Predicted result</w:t>
      </w:r>
    </w:p>
    <w:p>
      <w:pPr>
        <w:spacing w:line="336" w:lineRule="auto" w:after="180"/>
        <w:shd w:fill="F1F6FC"/>
      </w:pPr>
      <w:r>
        <w:rPr>
          <w:b/>
        </w:rPr>
        <w:t>Prediction</w:t>
      </w:r>
      <w:r>
        <w:rPr>
          <w:b w:val="0"/>
        </w:rPr>
        <w:t>: Report the outdoor slice as 2/4=50%, separately from indoor results.</w:t>
      </w:r>
    </w:p>
    <w:p>
      <w:pPr>
        <w:pStyle w:val="Heading3"/>
      </w:pPr>
      <w:r>
        <w:t>Why the result follows</w:t>
      </w:r>
    </w:p>
    <w:p>
      <w:pPr>
        <w:spacing w:line="336" w:lineRule="auto" w:after="180"/>
        <w:shd w:fill="F1F6FC"/>
      </w:pPr>
      <w:r>
        <w:rPr>
          <w:b w:val="0"/>
        </w:rPr>
        <w:t>Reason: The new records finally measure the missing condition, with a small denominator.</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Dataset and benchmark limitations,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Ten </w:t>
      </w:r>
      <w:r>
        <w:rPr>
          <w:b/>
        </w:rPr>
        <w:t>benchmark</w:t>
      </w:r>
      <w:r>
        <w:rPr>
          <w:b w:val="0"/>
        </w:rPr>
        <w:t xml:space="preserve"> rows include three copies of one source and seven other unique sources. Show the intermediate steps and give the conclusion with its scope.</w:t>
      </w:r>
    </w:p>
    <w:p>
      <w:pPr>
        <w:pStyle w:val="Heading3"/>
      </w:pPr>
      <w:r>
        <w:t>Reasoning to listen for</w:t>
      </w:r>
    </w:p>
    <w:p>
      <w:pPr>
        <w:spacing w:line="336" w:lineRule="auto" w:after="180"/>
        <w:shd w:fill="F1F6FC"/>
      </w:pPr>
      <w:r>
        <w:rPr>
          <w:b w:val="0"/>
        </w:rPr>
        <w:t>Teacher check: Teacher explanation: Eight unique source units, not ten independent sources. Identify duplicate weighting before analysis; do not silently discard results.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Dataset and </w:t>
      </w:r>
      <w:r>
        <w:rPr>
          <w:b/>
        </w:rPr>
        <w:t>benchmark</w:t>
      </w:r>
      <w:r>
        <w:rPr>
          <w:b w:val="0"/>
        </w:rPr>
        <w:t xml:space="preserve"> limitations.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Benchmark</w:t>
      </w:r>
      <w:r>
        <w:rPr>
          <w:b w:val="0"/>
        </w:rPr>
        <w:t xml:space="preserve"> success does not establish performance on a deployment population missing from its design.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Report the indoor </w:t>
      </w:r>
      <w:r>
        <w:rPr>
          <w:b/>
        </w:rPr>
        <w:t>benchmark</w:t>
      </w:r>
      <w:r>
        <w:rPr>
          <w:b w:val="0"/>
        </w:rPr>
        <w:t xml:space="preserve"> with its denominator and missing condition. After two correct outdoor cases out of four are added, what slice rate is supported and what remains uncertain?</w:t>
      </w:r>
    </w:p>
    <w:p>
      <w:pPr>
        <w:pStyle w:val="Heading3"/>
      </w:pPr>
      <w:r>
        <w:t>Reasoned teacher answer</w:t>
      </w:r>
    </w:p>
    <w:p>
      <w:pPr>
        <w:spacing w:line="336" w:lineRule="auto" w:after="180"/>
      </w:pPr>
      <w:r>
        <w:rPr>
          <w:b w:val="0"/>
        </w:rPr>
        <w:t xml:space="preserve">All ten </w:t>
      </w:r>
      <w:r>
        <w:rPr>
          <w:b/>
        </w:rPr>
        <w:t>benchmark</w:t>
      </w:r>
      <w:r>
        <w:rPr>
          <w:b w:val="0"/>
        </w:rPr>
        <w:t xml:space="preserve"> images are clean indoor photos. The observed indoor score is 90%. Outdoor shade performance remains unmeasured. Changed case: Report the outdoor slice as 2/4=50%, separately from indoor results.</w:t>
      </w:r>
    </w:p>
    <w:p>
      <w:pPr>
        <w:spacing w:line="336" w:lineRule="auto" w:after="180"/>
      </w:pPr>
      <w:r>
        <w:rPr>
          <w:b w:val="0"/>
        </w:rPr>
        <w:t>The new records finally measure the missing condition, with a small denominator.</w:t>
      </w:r>
    </w:p>
    <w:p>
      <w:pPr>
        <w:spacing w:line="336" w:lineRule="auto" w:after="180"/>
      </w:pPr>
      <w:r>
        <w:rPr>
          <w:b w:val="0"/>
        </w:rPr>
        <w:t>Changed-case reasoning: Report the outdoor slice as 2/4=50%, separately from indoor results. The new records finally measure the missing condition, with a small denominator.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Dataset and benchmark limitations investigation and use the first unsupported step to choose a teaching response.</w:t>
      </w:r>
    </w:p>
    <w:p>
      <w:pPr>
        <w:spacing w:line="336" w:lineRule="auto" w:after="180"/>
      </w:pPr>
      <w:r>
        <w:rPr>
          <w:b w:val="0"/>
        </w:rPr>
        <w:t xml:space="preserve">The worked result establishes every future case: </w:t>
      </w:r>
      <w:r>
        <w:rPr>
          <w:b/>
        </w:rPr>
        <w:t>Benchmark</w:t>
      </w:r>
      <w:r>
        <w:rPr>
          <w:b w:val="0"/>
        </w:rPr>
        <w:t xml:space="preserve"> success does not establish performance on a deployment population missing from its design.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Dataset and benchmark limitations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Eight unique source units, not ten independent sources. Identify duplicate weighting before analysis; do not silently discard results.</w:t>
      </w:r>
    </w:p>
    <w:p>
      <w:pPr>
        <w:spacing w:line="336" w:lineRule="auto" w:after="180"/>
      </w:pPr>
      <w:r>
        <w:rPr>
          <w:b w:val="0"/>
        </w:rPr>
        <w:t xml:space="preserve">Qualification: </w:t>
      </w:r>
      <w:r>
        <w:rPr>
          <w:b/>
        </w:rPr>
        <w:t>Benchmark</w:t>
      </w:r>
      <w:r>
        <w:rPr>
          <w:b w:val="0"/>
        </w:rPr>
        <w:t xml:space="preserve"> success does not establish performance on a deployment population missing from its design.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w:t>
      </w:r>
      <w:r>
        <w:rPr>
          <w:b/>
        </w:rPr>
        <w:t>benchmark</w:t>
      </w:r>
      <w:r>
        <w:rPr>
          <w:b w:val="0"/>
        </w:rPr>
        <w:t xml:space="preserve"> measures performance on its particular data and labels. Duplicates, obsolete cases or poor coverage can weaken claims.</w:t>
      </w:r>
    </w:p>
    <w:p>
      <w:pPr>
        <w:spacing w:line="336" w:lineRule="auto" w:after="180"/>
        <w:shd w:fill="F1F6FC"/>
      </w:pPr>
      <w:r>
        <w:rPr>
          <w:b w:val="0"/>
        </w:rPr>
        <w:t>Inspect eligibility, source dates, related units and label definitions before scoring. Deduplicate by declared unit identity, not merely file name; report excluded and unassessed cases.</w:t>
      </w:r>
    </w:p>
    <w:p>
      <w:pPr>
        <w:pStyle w:val="Heading3"/>
      </w:pPr>
      <w:r>
        <w:t>W2 Trace the worked case</w:t>
      </w:r>
    </w:p>
    <w:p>
      <w:pPr>
        <w:pStyle w:val="Heading3"/>
      </w:pPr>
      <w:r>
        <w:t>Workbook question · W2</w:t>
      </w:r>
    </w:p>
    <w:p>
      <w:pPr>
        <w:spacing w:line="336" w:lineRule="auto" w:after="180"/>
        <w:shd w:fill="F5F1FB"/>
      </w:pPr>
      <w:r>
        <w:rPr>
          <w:b w:val="0"/>
        </w:rPr>
        <w:t xml:space="preserve">Ten </w:t>
      </w:r>
      <w:r>
        <w:rPr>
          <w:b/>
        </w:rPr>
        <w:t>benchmark</w:t>
      </w:r>
      <w:r>
        <w:rPr>
          <w:b w:val="0"/>
        </w:rPr>
        <w:t xml:space="preserve"> rows include three copies of one source and seven other unique sources. Show the intermediate steps and give the conclusion with its scope.</w:t>
      </w:r>
    </w:p>
    <w:p>
      <w:pPr>
        <w:pStyle w:val="Heading3"/>
      </w:pPr>
      <w:r>
        <w:t>Teacher reasoning · W2</w:t>
      </w:r>
    </w:p>
    <w:p>
      <w:pPr>
        <w:spacing w:line="336" w:lineRule="auto" w:after="180"/>
        <w:shd w:fill="F1F6FC"/>
      </w:pPr>
      <w:r>
        <w:rPr>
          <w:b w:val="0"/>
        </w:rPr>
        <w:t>Teacher explanation: Eight unique source units, not ten independent sources. Identify duplicate weighting before analysis; do not silently discard results.</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w:t>
      </w:r>
      <w:r>
        <w:rPr>
          <w:b/>
        </w:rPr>
        <w:t>Benchmark</w:t>
      </w:r>
      <w:r>
        <w:rPr>
          <w:b w:val="0"/>
        </w:rPr>
        <w:t xml:space="preserve"> success does not establish performance on a deployment population missing from its design.</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w:t>
      </w:r>
      <w:r>
        <w:rPr>
          <w:b/>
        </w:rPr>
        <w:t>Benchmark</w:t>
      </w:r>
      <w:r>
        <w:rPr>
          <w:b w:val="0"/>
        </w:rPr>
        <w:t xml:space="preserve"> success does not establish performance on a deployment population missing from its design.</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Twelve rows include four copies of one source and eight others. Count unique units and name one coverage concern.</w:t>
      </w:r>
    </w:p>
    <w:p>
      <w:pPr>
        <w:pStyle w:val="Heading3"/>
      </w:pPr>
      <w:r>
        <w:t>Teacher reasoning · W4</w:t>
      </w:r>
    </w:p>
    <w:p>
      <w:pPr>
        <w:spacing w:line="336" w:lineRule="auto" w:after="180"/>
        <w:shd w:fill="F1F6FC"/>
      </w:pPr>
      <w:r>
        <w:rPr>
          <w:b w:val="0"/>
        </w:rPr>
        <w:t>Teacher explanation: Nine unique units. Check whether cases represent requested time, groups and tasks; row count alone does not answer coverage.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w:t>
      </w:r>
      <w:r>
        <w:rPr>
          <w:b/>
        </w:rPr>
        <w:t>Benchmark</w:t>
      </w:r>
      <w:r>
        <w:rPr>
          <w:b w:val="0"/>
        </w:rPr>
        <w:t xml:space="preserve"> success does not establish performance on a deployment population missing from its design.</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Nine unique units. Check whether cases represent requested time, groups and tasks; row count alone does not answer coverage. Require intermediate reasoning and the stated scope.</w:t>
      </w:r>
    </w:p>
    <w:p>
      <w:pPr>
        <w:spacing w:line="336" w:lineRule="auto" w:after="180"/>
        <w:shd w:fill="F1F6FC"/>
      </w:pPr>
      <w:r>
        <w:rPr>
          <w:b w:val="0"/>
        </w:rPr>
        <w:t>Fresh retry: Eight rows include two copies of a single source and six others. Expected reasoning: Seven unique units. Report duplicate policy and original row inventory.</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Twelve rows include four copies of one source and eight others. Count unique units and name one coverage concern.</w:t>
      </w:r>
    </w:p>
    <w:p>
      <w:pPr>
        <w:pStyle w:val="Heading3"/>
      </w:pPr>
      <w:r>
        <w:t>Selected case answer</w:t>
      </w:r>
    </w:p>
    <w:p>
      <w:pPr>
        <w:pStyle w:val="Heading3"/>
      </w:pPr>
      <w:r>
        <w:t>Teacher key · Selected case answer</w:t>
      </w:r>
    </w:p>
    <w:p>
      <w:pPr>
        <w:spacing w:line="336" w:lineRule="auto" w:after="180"/>
        <w:shd w:fill="F1F6FC"/>
      </w:pPr>
      <w:r>
        <w:rPr>
          <w:b w:val="0"/>
        </w:rPr>
        <w:t>Teacher explanation: Nine unique units. Check whether cases represent requested time, groups and tasks; row count alone does not answer coverage.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Dataset and benchmark limitations to Reproducible AI Research Study, adapt support and plan a later changed-case check.</w:t>
      </w:r>
    </w:p>
    <w:p>
      <w:pPr>
        <w:spacing w:line="336" w:lineRule="auto" w:after="180"/>
      </w:pPr>
      <w:r>
        <w:rPr>
          <w:b w:val="0"/>
        </w:rPr>
        <w:t xml:space="preserve">Add a labelled dataset and </w:t>
      </w:r>
      <w:r>
        <w:rPr>
          <w:b/>
        </w:rPr>
        <w:t>benchmark</w:t>
      </w:r>
      <w:r>
        <w:rPr>
          <w:b w:val="0"/>
        </w:rPr>
        <w:t xml:space="preserve"> limitations </w:t>
      </w:r>
      <w:r>
        <w:rPr>
          <w:b/>
        </w:rPr>
        <w:t>evidence</w:t>
      </w:r>
      <w:r>
        <w:rPr>
          <w:b w:val="0"/>
        </w:rPr>
        <w:t xml:space="preserve"> sheet to Reproducible AI Research Study. Show how you can explain the </w:t>
      </w:r>
      <w:r>
        <w:rPr>
          <w:b/>
        </w:rPr>
        <w:t>mechanism</w:t>
      </w:r>
      <w:r>
        <w:rPr>
          <w:b w:val="0"/>
        </w:rPr>
        <w:t xml:space="preserve"> and terminology of dataset and </w:t>
      </w:r>
      <w:r>
        <w:rPr>
          <w:b/>
        </w:rPr>
        <w:t>benchmark</w:t>
      </w:r>
      <w:r>
        <w:rPr>
          <w:b w:val="0"/>
        </w:rPr>
        <w:t xml:space="preserve"> limitations.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Research ethics and consent.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ai-7/19, ai-7/21, ai-7/24.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Dataset and benchmark limitations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dataset and </w:t>
      </w:r>
      <w:r>
        <w:rPr>
          <w:b/>
        </w:rPr>
        <w:t>benchmark</w:t>
      </w:r>
      <w:r>
        <w:rPr>
          <w:b w:val="0"/>
        </w:rPr>
        <w:t xml:space="preserve"> limitations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 xml:space="preserve">Before class, solve the supported practice: Ten </w:t>
      </w:r>
      <w:r>
        <w:rPr>
          <w:b/>
        </w:rPr>
        <w:t>benchmark</w:t>
      </w:r>
      <w:r>
        <w:rPr>
          <w:b w:val="0"/>
        </w:rPr>
        <w:t xml:space="preserve"> rows include three copies of one source and seven other unique sources.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Eight unique source units, not ten independent sources. Identify duplicate weighting before analysis; do not silently discard results.</w:t>
      </w:r>
    </w:p>
    <w:p>
      <w:pPr>
        <w:spacing w:line="336" w:lineRule="auto" w:after="180"/>
      </w:pPr>
      <w:r>
        <w:rPr>
          <w:b w:val="0"/>
        </w:rPr>
        <w:t xml:space="preserve">Check every learner before discussion: Use the worked case for Dataset and </w:t>
      </w:r>
      <w:r>
        <w:rPr>
          <w:b/>
        </w:rPr>
        <w:t>benchmark</w:t>
      </w:r>
      <w:r>
        <w:rPr>
          <w:b w:val="0"/>
        </w:rPr>
        <w:t xml:space="preserve"> limitations.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Benchmark</w:t>
      </w:r>
      <w:r>
        <w:rPr>
          <w:b w:val="0"/>
        </w:rPr>
        <w:t xml:space="preserve"> success does not establish performance on a deployment population missing from its design.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four reserved outdoor cases, of which two are correct. Require a </w:t>
      </w:r>
      <w:r>
        <w:rPr>
          <w:b/>
        </w:rPr>
        <w:t>prediction</w:t>
      </w:r>
      <w:r>
        <w:rPr>
          <w:b w:val="0"/>
        </w:rPr>
        <w:t xml:space="preserve"> and a reason before comparing. Expected result: Report the outdoor slice as 2/4=50%, separately from indoor results.</w:t>
      </w:r>
    </w:p>
    <w:p>
      <w:pPr>
        <w:spacing w:line="336" w:lineRule="auto" w:after="180"/>
        <w:shd w:fill="F5F1FB"/>
      </w:pPr>
      <w:r>
        <w:rPr>
          <w:b w:val="0"/>
        </w:rPr>
        <w:t>Reason: The new records finally measure the missing condition, with a small denominator.</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Dataset and benchmark limitations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Dataset and benchmark limitations: the case</w:t>
      </w:r>
    </w:p>
    <w:p>
      <w:r>
        <w:drawing>
          <wp:inline xmlns:a="http://schemas.openxmlformats.org/drawingml/2006/main" xmlns:pic="http://schemas.openxmlformats.org/drawingml/2006/picture">
            <wp:extent cx="5486400" cy="2834640"/>
            <wp:docPr id="3" name="Picture 3" descr="A benchmark can miss the intended setting. A plant model is evaluated on clean indoor photos but proposed for shaded outdoor photos. Supplied facts: Indoor benchmark: 9/10 correct. No outdoor cases are present. The same model is intended for both."/>
            <wp:cNvGraphicFramePr>
              <a:graphicFrameLocks noChangeAspect="1"/>
            </wp:cNvGraphicFramePr>
            <a:graphic>
              <a:graphicData uri="http://schemas.openxmlformats.org/drawingml/2006/picture">
                <pic:pic>
                  <pic:nvPicPr>
                    <pic:cNvPr id="0" name="academy-story-ai-7-18-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benchmark</w:t>
      </w:r>
      <w:r>
        <w:rPr>
          <w:b w:val="0"/>
        </w:rPr>
        <w:t xml:space="preserve"> can miss the intended setting. A plant model is evaluated on clean indoor photos but proposed for shaded outdoor photos. Supplied facts: Indoor </w:t>
      </w:r>
      <w:r>
        <w:rPr>
          <w:b/>
        </w:rPr>
        <w:t>benchmark</w:t>
      </w:r>
      <w:r>
        <w:rPr>
          <w:b w:val="0"/>
        </w:rPr>
        <w:t>: 9/10 correct. No outdoor cases are present.</w:t>
      </w:r>
    </w:p>
    <w:p>
      <w:pPr>
        <w:spacing w:line="336" w:lineRule="auto" w:after="180"/>
      </w:pPr>
      <w:r>
        <w:rPr>
          <w:b w:val="0"/>
        </w:rPr>
        <w:t>The same model is intended for both.</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Name measured setting: All ten benchmark images are clean indoor photos. → Report the result: The observed indoor score is 90%. → Name missing evidence: Outdoor shade performance remains unmeasured."/>
            <wp:cNvGraphicFramePr>
              <a:graphicFrameLocks noChangeAspect="1"/>
            </wp:cNvGraphicFramePr>
            <a:graphic>
              <a:graphicData uri="http://schemas.openxmlformats.org/drawingml/2006/picture">
                <pic:pic>
                  <pic:nvPicPr>
                    <pic:cNvPr id="0" name="academy-story-ai-7-18-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Name measured setting: All ten </w:t>
      </w:r>
      <w:r>
        <w:rPr>
          <w:b/>
        </w:rPr>
        <w:t>benchmark</w:t>
      </w:r>
      <w:r>
        <w:rPr>
          <w:b w:val="0"/>
        </w:rPr>
        <w:t xml:space="preserve"> images are clean indoor photos. → Report the result: The observed indoor score is 90%. → Name missing </w:t>
      </w:r>
      <w:r>
        <w:rPr>
          <w:b/>
        </w:rPr>
        <w:t>evidence</w:t>
      </w:r>
      <w:r>
        <w:rPr>
          <w:b w:val="0"/>
        </w:rPr>
        <w:t>: Outdoor shade performance remains unmeasured.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Benchmark conditions</w:t>
      </w:r>
    </w:p>
    <w:p>
      <w:r>
        <w:drawing>
          <wp:inline xmlns:a="http://schemas.openxmlformats.org/drawingml/2006/main" xmlns:pic="http://schemas.openxmlformats.org/drawingml/2006/picture">
            <wp:extent cx="5486400" cy="3096768"/>
            <wp:docPr id="5" name="Picture 5" descr="Benchmark conditions. Indoor benchmark: Correct = 9, Total = 10. Added outdoor slice: Correct = 2, Total = 4."/>
            <wp:cNvGraphicFramePr>
              <a:graphicFrameLocks noChangeAspect="1"/>
            </wp:cNvGraphicFramePr>
            <a:graphic>
              <a:graphicData uri="http://schemas.openxmlformats.org/drawingml/2006/picture">
                <pic:pic>
                  <pic:nvPicPr>
                    <pic:cNvPr id="0" name="academy-story-ai-7-18-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rPr>
        <w:t>Benchmark</w:t>
      </w:r>
      <w:r>
        <w:rPr>
          <w:b w:val="0"/>
        </w:rPr>
        <w:t xml:space="preserve"> conditions. Indoor </w:t>
      </w:r>
      <w:r>
        <w:rPr>
          <w:b/>
        </w:rPr>
        <w:t>benchmark</w:t>
      </w:r>
      <w:r>
        <w:rPr>
          <w:b w:val="0"/>
        </w:rPr>
        <w:t>: Correct = 9, Total = 10. Added outdoor slice: Correct = 2, Total = 4.</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Outdoor shade performance remains unmeasured. Changed condition: Add four reserved outdoor cases, of which two are correct. Expected result: Report the outdoor slice as 2/4=50%, separately from indoor results. Reason: The new records finally measure the missing condition, with a small denominator."/>
            <wp:cNvGraphicFramePr>
              <a:graphicFrameLocks noChangeAspect="1"/>
            </wp:cNvGraphicFramePr>
            <a:graphic>
              <a:graphicData uri="http://schemas.openxmlformats.org/drawingml/2006/picture">
                <pic:pic>
                  <pic:nvPicPr>
                    <pic:cNvPr id="0" name="academy-story-ai-7-1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Outdoor shade performance remains unmeasured. Changed condition: Add four reserved outdoor cases, of which two are correct. Expected result: Report the outdoor slice as 2/4=50%, separately from indoor results.</w:t>
      </w:r>
    </w:p>
    <w:p>
      <w:pPr>
        <w:spacing w:line="336" w:lineRule="auto" w:after="180"/>
      </w:pPr>
      <w:r>
        <w:rPr>
          <w:b w:val="0"/>
        </w:rPr>
        <w:t>Reason: The new records finally measure the missing condition, with a small denominator.</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new records finally measure the missing condition, with a small denominator.</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benchmark represents particular tasks and collection conditions. High performance on it cannot automatically establish fitness for a different deployment setting. Limit: Neither slice estimates all future photos; inspect sampling, labels and grouping."/>
            <wp:cNvGraphicFramePr>
              <a:graphicFrameLocks noChangeAspect="1"/>
            </wp:cNvGraphicFramePr>
            <a:graphic>
              <a:graphicData uri="http://schemas.openxmlformats.org/drawingml/2006/picture">
                <pic:pic>
                  <pic:nvPicPr>
                    <pic:cNvPr id="0" name="academy-story-ai-7-1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benchmark</w:t>
      </w:r>
      <w:r>
        <w:rPr>
          <w:b w:val="0"/>
        </w:rPr>
        <w:t xml:space="preserve"> represents particular tasks and collection conditions. High performance on it cannot automatically establish fitness for a different deployment setting.</w:t>
      </w:r>
    </w:p>
    <w:p>
      <w:pPr>
        <w:spacing w:line="336" w:lineRule="auto" w:after="180"/>
      </w:pPr>
      <w:r>
        <w:rPr>
          <w:b w:val="0"/>
        </w:rPr>
        <w:t>Limit: Neither slice estimates all future photos; inspect sampling, labels and grouping.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Neither slice estimates all future photos; inspect sampling, labels and grouping.</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Report the indoor benchmark with its denominator and missing condition. After two correct outdoor cases out of four are added, what slice rate is supported and what remains uncertain?"/>
            <wp:cNvGraphicFramePr>
              <a:graphicFrameLocks noChangeAspect="1"/>
            </wp:cNvGraphicFramePr>
            <a:graphic>
              <a:graphicData uri="http://schemas.openxmlformats.org/drawingml/2006/picture">
                <pic:pic>
                  <pic:nvPicPr>
                    <pic:cNvPr id="0" name="academy-story-ai-7-1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Report the indoor </w:t>
      </w:r>
      <w:r>
        <w:rPr>
          <w:b/>
        </w:rPr>
        <w:t>benchmark</w:t>
      </w:r>
      <w:r>
        <w:rPr>
          <w:b w:val="0"/>
        </w:rPr>
        <w:t xml:space="preserve"> with its denominator and missing condition.</w:t>
      </w:r>
    </w:p>
    <w:p>
      <w:pPr>
        <w:spacing w:line="336" w:lineRule="auto" w:after="180"/>
      </w:pPr>
      <w:r>
        <w:rPr>
          <w:b w:val="0"/>
        </w:rPr>
        <w:t>After two correct outdoor cases out of four are added, what slice rate is supported and what remains uncertain?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All ten </w:t>
      </w:r>
      <w:r>
        <w:rPr>
          <w:b/>
        </w:rPr>
        <w:t>benchmark</w:t>
      </w:r>
      <w:r>
        <w:rPr>
          <w:b w:val="0"/>
        </w:rPr>
        <w:t xml:space="preserve"> images are clean indoor photos. The observed indoor score is 90%. Outdoor shade performance remains unmeasured.</w:t>
      </w:r>
    </w:p>
    <w:p>
      <w:pPr>
        <w:spacing w:line="336" w:lineRule="auto" w:after="180"/>
        <w:shd w:fill="F1F6F8"/>
      </w:pPr>
      <w:r>
        <w:rPr>
          <w:b w:val="0"/>
        </w:rPr>
        <w:t>Changed case: Report the outdoor slice as 2/4=50%, separately from indoor results. The new records finally measure the missing condition, with a small denominator.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