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ai-7/20</w:t>
      </w:r>
    </w:p>
    <w:p>
      <w:pPr>
        <w:pStyle w:val="Title"/>
      </w:pPr>
      <w:r>
        <w:t>Privacy and data governance</w:t>
      </w:r>
    </w:p>
    <w:p>
      <w:r>
        <w:t>Project: Reproducible AI Research Study</w:t>
      </w:r>
    </w:p>
    <w:p>
      <w:pPr>
        <w:pStyle w:val="Heading1"/>
      </w:pPr>
      <w:r>
        <w:t>01. Prepare the purpose, prerequisites and materials</w:t>
      </w:r>
    </w:p>
    <w:p>
      <w:r>
        <w:t>Prepare Privacy and data governance: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privacy and </w:t>
      </w:r>
      <w:r>
        <w:rPr>
          <w:b/>
        </w:rPr>
        <w:t>data governance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Research ethics and consent</w:t>
      </w:r>
    </w:p>
    <w:p>
      <w:pPr>
        <w:spacing w:line="336" w:lineRule="auto" w:after="180"/>
      </w:pPr>
      <w:r>
        <w:rPr>
          <w:b w:val="0"/>
        </w:rPr>
        <w:t>Without opening the old lesson, explain one key idea from Research ethics and consent.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research ethics and consent</w:t>
      </w:r>
    </w:p>
    <w:p>
      <w:pPr>
        <w:spacing w:line="336" w:lineRule="auto" w:after="180"/>
      </w:pPr>
      <w:r>
        <w:rPr>
          <w:b w:val="0"/>
        </w:rPr>
        <w:t>Reference example, not the only acceptable wording: Teacher explanation: Research ethics considers purpose, burden, voluntary participation and consequences.</w:t>
      </w:r>
    </w:p>
    <w:p>
      <w:pPr>
        <w:spacing w:line="336" w:lineRule="auto" w:after="180"/>
      </w:pPr>
      <w:r>
        <w:rPr>
          <w:b w:val="0"/>
        </w:rPr>
        <w:t>Approval to teach does not automatically authorise a research data collection. Use fictional records for this course.</w:t>
      </w:r>
    </w:p>
    <w:p>
      <w:pPr>
        <w:spacing w:line="336" w:lineRule="auto" w:after="180"/>
      </w:pPr>
      <w:r>
        <w:rPr>
          <w:b w:val="0"/>
        </w:rPr>
        <w:t>For the supplied classroom policy, a real study needs responsible review, plain-language purpose, opt-in consent and withdrawal handling before collection. Do not implement real recruitment in this exercise.</w:t>
      </w:r>
    </w:p>
    <w:p>
      <w:pPr>
        <w:pStyle w:val="Heading3"/>
      </w:pPr>
      <w:r>
        <w:t>Sensitivity analysis</w:t>
      </w:r>
    </w:p>
    <w:p>
      <w:pPr>
        <w:spacing w:line="336" w:lineRule="auto" w:after="180"/>
      </w:pPr>
      <w:r>
        <w:rPr>
          <w:b w:val="0"/>
        </w:rPr>
        <w:t>Without opening the old lesson, explain one key idea from Sensitivity analysis.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sensitivity analysis</w:t>
      </w:r>
    </w:p>
    <w:p>
      <w:pPr>
        <w:spacing w:line="336" w:lineRule="auto" w:after="180"/>
      </w:pPr>
      <w:r>
        <w:rPr>
          <w:b w:val="0"/>
        </w:rPr>
        <w:t>Reference example, not the only acceptable wording: Teacher explanation: Sensitivity analysis checks whether a conclusion changes under plausible settings or analysis choices.</w:t>
      </w:r>
    </w:p>
    <w:p>
      <w:pPr>
        <w:spacing w:line="336" w:lineRule="auto" w:after="180"/>
      </w:pPr>
      <w:r>
        <w:rPr>
          <w:b w:val="0"/>
        </w:rPr>
        <w:t>It should not secretly select the most favourable result. Prespecify a range and preserve all results. Distinguish robustness across settings from proof beyond the tested range.</w:t>
      </w:r>
    </w:p>
    <w:p>
      <w:pPr>
        <w:spacing w:line="336" w:lineRule="auto" w:after="180"/>
      </w:pPr>
      <w:r>
        <w:rPr>
          <w:b w:val="0"/>
        </w:rPr>
        <w:t>Settings affecting data roles require special caution.</w:t>
      </w:r>
    </w:p>
    <w:p>
      <w:pPr>
        <w:pStyle w:val="Heading3"/>
      </w:pPr>
      <w:r>
        <w:t>Statistical tests and assumptions</w:t>
      </w:r>
    </w:p>
    <w:p>
      <w:pPr>
        <w:spacing w:line="336" w:lineRule="auto" w:after="180"/>
      </w:pPr>
      <w:r>
        <w:rPr>
          <w:b w:val="0"/>
        </w:rPr>
        <w:t>Without opening the old lesson, explain one key idea from Statistical tests and assumptions.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statistical tests and assumptions</w:t>
      </w:r>
    </w:p>
    <w:p>
      <w:pPr>
        <w:spacing w:line="336" w:lineRule="auto" w:after="180"/>
      </w:pPr>
      <w:r>
        <w:rPr>
          <w:b w:val="0"/>
        </w:rPr>
        <w:t xml:space="preserve">Reference example, not the only acceptable wording: Teacher explanation: A statistical test compares observed </w:t>
      </w:r>
      <w:r>
        <w:rPr>
          <w:b/>
        </w:rPr>
        <w:t>evidence</w:t>
      </w:r>
      <w:r>
        <w:rPr>
          <w:b w:val="0"/>
        </w:rPr>
        <w:t xml:space="preserve"> with a specified null model. A p-value is not the probability that the null hypothesis is true.</w:t>
      </w:r>
    </w:p>
    <w:p>
      <w:pPr>
        <w:spacing w:line="336" w:lineRule="auto" w:after="180"/>
      </w:pPr>
      <w:r>
        <w:rPr>
          <w:b w:val="0"/>
        </w:rPr>
        <w:t>Toy paired sign-flip test assumes independent paired differences whose signs are exchangeable under a symmetric zero-effect null. Enumerate all2^n sign assignments, holding magnitudes fixed.</w:t>
      </w:r>
    </w:p>
    <w:p>
      <w:pPr>
        <w:spacing w:line="336" w:lineRule="auto" w:after="180"/>
      </w:pPr>
      <w:r>
        <w:rPr>
          <w:b w:val="0"/>
        </w:rPr>
        <w:t>Two-sided p is fraction with absolute mean at least the observed absolute mean; use inclusive ties.</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w:t>
      </w:r>
      <w:r>
        <w:rPr>
          <w:b/>
        </w:rPr>
        <w:t>Data governance</w:t>
      </w:r>
      <w:r>
        <w:rPr>
          <w:b w:val="0"/>
        </w:rPr>
        <w:t xml:space="preserve"> specifies who may use which records, for what purpose and for how long. Coded data can still be reidentifiable. Use the supplied constructed scenarios to make the </w:t>
      </w:r>
      <w:r>
        <w:rPr>
          <w:b/>
        </w:rPr>
        <w:t>mechanism</w:t>
      </w:r>
      <w:r>
        <w:rPr>
          <w:b w:val="0"/>
        </w:rPr>
        <w:t xml:space="preserve"> inspectable.</w:t>
      </w:r>
    </w:p>
    <w:p>
      <w:pPr>
        <w:spacing w:line="336" w:lineRule="auto" w:after="180"/>
      </w:pPr>
      <w:r>
        <w:rPr>
          <w:b w:val="0"/>
        </w:rPr>
        <w:t xml:space="preserve">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privacy and </w:t>
      </w:r>
      <w:r>
        <w:rPr>
          <w:b/>
        </w:rPr>
        <w:t>data governance</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privacy and </w:t>
      </w:r>
      <w:r>
        <w:rPr>
          <w:b/>
        </w:rPr>
        <w:t>data governance</w:t>
      </w:r>
      <w:r>
        <w:rPr>
          <w:b w:val="0"/>
        </w:rPr>
        <w:t xml:space="preserve">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Privacy and data governance using the supplied case, labelled mechanism and reasoning. Make the scope of each conclusion explicit.</w:t>
      </w:r>
    </w:p>
    <w:p>
      <w:pPr>
        <w:spacing w:line="336" w:lineRule="auto" w:after="180"/>
      </w:pPr>
      <w:r>
        <w:rPr>
          <w:b/>
        </w:rPr>
        <w:t>Data governance</w:t>
      </w:r>
      <w:r>
        <w:rPr>
          <w:b w:val="0"/>
        </w:rPr>
        <w:t xml:space="preserve"> specifies who may use which records, for what purpose and for how long. Coded data can still be reidentifiable.</w:t>
      </w:r>
    </w:p>
    <w:p>
      <w:pPr>
        <w:pStyle w:val="Heading3"/>
      </w:pPr>
      <w:r>
        <w:t>Explain Privacy and data governance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For fictional records separate participant-code table from analysis values; limit access and retention. Remove unnecessary fields and small-group details before a permitted aggregate export.</w:t>
      </w:r>
    </w:p>
    <w:p>
      <w:pPr>
        <w:pStyle w:val="Heading3"/>
      </w:pPr>
      <w:r>
        <w:t>Explain Privacy and data governance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 governance</w:t>
            </w:r>
          </w:p>
        </w:tc>
        <w:tc>
          <w:tcPr>
            <w:tcW w:type="dxa" w:w="5112"/>
          </w:tcPr>
          <w:p>
            <w:r>
              <w:t>Rules for purpose, access, quality and lifetime</w:t>
            </w:r>
          </w:p>
        </w:tc>
      </w:tr>
      <w:tr>
        <w:tc>
          <w:tcPr>
            <w:tcW w:type="dxa" w:w="5112"/>
          </w:tcPr>
          <w:p>
            <w:r>
              <w:t>Pseudonym</w:t>
            </w:r>
          </w:p>
        </w:tc>
        <w:tc>
          <w:tcPr>
            <w:tcW w:type="dxa" w:w="5112"/>
          </w:tcPr>
          <w:p>
            <w:r>
              <w:t>A code replacing direct identification</w:t>
            </w:r>
          </w:p>
        </w:tc>
      </w:tr>
      <w:tr>
        <w:tc>
          <w:tcPr>
            <w:tcW w:type="dxa" w:w="5112"/>
          </w:tcPr>
          <w:p>
            <w:r>
              <w:t>Disclosure risk</w:t>
            </w:r>
          </w:p>
        </w:tc>
        <w:tc>
          <w:tcPr>
            <w:tcW w:type="dxa" w:w="5112"/>
          </w:tcPr>
          <w:p>
            <w:r>
              <w:t>The possibility of learning identifying or sensitive facts</w:t>
            </w:r>
          </w:p>
        </w:tc>
      </w:tr>
    </w:tbl>
    <w:p>
      <w:pPr>
        <w:pStyle w:val="Heading3"/>
      </w:pPr>
      <w:r>
        <w:t>Privacy and data governance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Export has coded ID, exact birth date, classroom and rare condition. Team calls it anonymous because names are removed.</w:t>
            </w:r>
          </w:p>
        </w:tc>
        <w:tc>
          <w:tcPr>
            <w:tcW w:type="dxa" w:w="3408"/>
          </w:tcPr>
          <w:p>
            <w:r>
              <w:t>For fictional records separate participant-code table from analysis values; limit access and retention. Remove unnecessary fields and small-group details before a permitted aggregate export.</w:t>
            </w:r>
          </w:p>
        </w:tc>
        <w:tc>
          <w:tcPr>
            <w:tcW w:type="dxa" w:w="3408"/>
          </w:tcPr>
          <w:p>
            <w:r>
              <w:t>The combination can remain identifying; coded is not necessarily anonymous. Minimise fields and assess disclosure under the declared policy.</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Privacy and data governance · 3</w:t>
      </w:r>
    </w:p>
    <w:p>
      <w:pPr>
        <w:spacing w:line="336" w:lineRule="auto" w:after="180"/>
      </w:pPr>
      <w:r>
        <w:rPr>
          <w:b w:val="0"/>
        </w:rPr>
        <w:t>Guided: The combination can remain identifying; coded is not necessarily anonymous. Minimise fields and assess disclosure under the declared policy.</w:t>
      </w:r>
    </w:p>
    <w:p>
      <w:pPr>
        <w:spacing w:line="336" w:lineRule="auto" w:after="180"/>
      </w:pPr>
      <w:r>
        <w:rPr>
          <w:b w:val="0"/>
        </w:rPr>
        <w:t>Qualification: A size threshold or coding scheme alone does not guarantee privacy.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Export has coded ID, exact birth date, classroom and rare condition. Team calls it anonymous because names are removed.</w:t>
      </w:r>
    </w:p>
    <w:p>
      <w:pPr>
        <w:spacing w:line="336" w:lineRule="auto" w:after="180"/>
      </w:pPr>
      <w:r>
        <w:rPr>
          <w:b w:val="0"/>
        </w:rPr>
        <w:t>The combination can remain identifying; coded is not necessarily anonymous. Minimise fields and assess disclosure under the declared policy.</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Privacy and data governance</w:t>
      </w:r>
    </w:p>
    <w:p>
      <w:pPr>
        <w:spacing w:line="336" w:lineRule="auto" w:after="180"/>
      </w:pPr>
      <w:r>
        <w:rPr>
          <w:b w:val="0"/>
        </w:rPr>
        <w:t>Govern data by purpose and access. A fictional project needs task scores and random participant codes, but not names.</w:t>
      </w:r>
    </w:p>
    <w:p>
      <w:pPr>
        <w:pStyle w:val="Heading3"/>
      </w:pPr>
      <w:r>
        <w:t>The facts we will use</w:t>
      </w:r>
    </w:p>
    <w:p>
      <w:pPr>
        <w:pStyle w:val="Heading3"/>
      </w:pPr>
      <w:r>
        <w:t>Supplied facts</w:t>
      </w:r>
    </w:p>
    <w:p>
      <w:pPr>
        <w:spacing w:line="336" w:lineRule="auto" w:after="180"/>
        <w:shd w:fill="F1F6FC"/>
      </w:pPr>
      <w:r>
        <w:rPr>
          <w:b w:val="0"/>
        </w:rPr>
        <w:t>The analysis table holds codes and scores. A separate restricted key links codes to names only for authorised withdrawal handling.</w:t>
      </w:r>
    </w:p>
    <w:p>
      <w:r>
        <w:drawing>
          <wp:inline xmlns:a="http://schemas.openxmlformats.org/drawingml/2006/main" xmlns:pic="http://schemas.openxmlformats.org/drawingml/2006/picture">
            <wp:extent cx="5486400" cy="5185229"/>
            <wp:docPr id="1" name="Picture 1" descr="Privacy and data governance. Separate tables: Keep analysis records apart from the identity key.. Limit access: Analysts receive scores and codes, not the name linkage.. Define retention: Apply the approved deletion schedule to both stores and listed copies."/>
            <wp:cNvGraphicFramePr>
              <a:graphicFrameLocks noChangeAspect="1"/>
            </wp:cNvGraphicFramePr>
            <a:graphic>
              <a:graphicData uri="http://schemas.openxmlformats.org/drawingml/2006/picture">
                <pic:pic>
                  <pic:nvPicPr>
                    <pic:cNvPr id="0" name="academy-visual-ai-7-2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tables</w:t>
            </w:r>
          </w:p>
        </w:tc>
        <w:tc>
          <w:tcPr>
            <w:tcW w:type="dxa" w:w="5112"/>
          </w:tcPr>
          <w:p>
            <w:r>
              <w:t>Keep analysis records apart from the identity key.</w:t>
            </w:r>
          </w:p>
        </w:tc>
      </w:tr>
      <w:tr>
        <w:tc>
          <w:tcPr>
            <w:tcW w:type="dxa" w:w="5112"/>
          </w:tcPr>
          <w:p>
            <w:r>
              <w:t>2. Limit access</w:t>
            </w:r>
          </w:p>
        </w:tc>
        <w:tc>
          <w:tcPr>
            <w:tcW w:type="dxa" w:w="5112"/>
          </w:tcPr>
          <w:p>
            <w:r>
              <w:t>Analysts receive scores and codes, not the name linkage.</w:t>
            </w:r>
          </w:p>
        </w:tc>
      </w:tr>
      <w:tr>
        <w:tc>
          <w:tcPr>
            <w:tcW w:type="dxa" w:w="5112"/>
          </w:tcPr>
          <w:p>
            <w:r>
              <w:t>3. Define retention</w:t>
            </w:r>
          </w:p>
        </w:tc>
        <w:tc>
          <w:tcPr>
            <w:tcW w:type="dxa" w:w="5112"/>
          </w:tcPr>
          <w:p>
            <w:r>
              <w:t>Apply the approved deletion schedule to both stores and listed copies.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Pseudonym</w:t>
      </w:r>
      <w:r>
        <w:rPr>
          <w:b w:val="0"/>
        </w:rPr>
        <w:t>ous codes reduce routine exposure but are not the same as irreversible anonymity. Governance specifies purpose, readers, locations and retention.</w:t>
      </w:r>
    </w:p>
    <w:p>
      <w:pPr>
        <w:pStyle w:val="Heading3"/>
      </w:pPr>
      <w:r>
        <w:t>What this example does not establish</w:t>
      </w:r>
    </w:p>
    <w:p>
      <w:pPr>
        <w:pStyle w:val="Heading3"/>
      </w:pPr>
      <w:r>
        <w:t>Keep the stated limit</w:t>
      </w:r>
    </w:p>
    <w:p>
      <w:pPr>
        <w:spacing w:line="336" w:lineRule="auto" w:after="180"/>
        <w:shd w:fill="FFF5E6"/>
      </w:pPr>
      <w:r>
        <w:rPr>
          <w:b w:val="0"/>
        </w:rPr>
        <w:t>Small groups or unusual records may still be identifiable without names; evaluate re-identification risk.</w:t>
      </w:r>
    </w:p>
    <w:p>
      <w:pPr>
        <w:pStyle w:val="Heading3"/>
      </w:pPr>
      <w:r>
        <w:t>Change one thing in the pictured case</w:t>
      </w:r>
    </w:p>
    <w:p>
      <w:pPr>
        <w:pStyle w:val="Heading3"/>
      </w:pPr>
      <w:r>
        <w:t>Change one thing</w:t>
      </w:r>
    </w:p>
    <w:p>
      <w:pPr>
        <w:spacing w:line="336" w:lineRule="auto" w:after="180"/>
        <w:shd w:fill="F5F1FB"/>
      </w:pPr>
      <w:r>
        <w:rPr>
          <w:b w:val="0"/>
        </w:rPr>
        <w:t>Change: Publish the identity key with the analysis table.</w:t>
      </w:r>
    </w:p>
    <w:p>
      <w:pPr>
        <w:pStyle w:val="Heading3"/>
      </w:pPr>
      <w:r>
        <w:t>Predicted result</w:t>
      </w:r>
    </w:p>
    <w:p>
      <w:pPr>
        <w:spacing w:line="336" w:lineRule="auto" w:after="180"/>
        <w:shd w:fill="F1F6FC"/>
      </w:pPr>
      <w:r>
        <w:rPr>
          <w:b/>
        </w:rPr>
        <w:t>Prediction</w:t>
      </w:r>
      <w:r>
        <w:rPr>
          <w:b w:val="0"/>
        </w:rPr>
        <w:t>: The records become directly linkable to names and breach this access design.</w:t>
      </w:r>
    </w:p>
    <w:p>
      <w:pPr>
        <w:pStyle w:val="Heading3"/>
      </w:pPr>
      <w:r>
        <w:t>Why the result follows</w:t>
      </w:r>
    </w:p>
    <w:p>
      <w:pPr>
        <w:spacing w:line="336" w:lineRule="auto" w:after="180"/>
        <w:shd w:fill="F1F6FC"/>
      </w:pPr>
      <w:r>
        <w:rPr>
          <w:b w:val="0"/>
        </w:rPr>
        <w:t>Reason: Separation only helps while the linkage key remains restricted.</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Privacy and data governance,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Export has coded ID, exact birth date, classroom and rare condition. Team calls it anonymous because names are removed. Show the intermediate steps and give the conclusion with its scope.</w:t>
      </w:r>
    </w:p>
    <w:p>
      <w:pPr>
        <w:pStyle w:val="Heading3"/>
      </w:pPr>
      <w:r>
        <w:t>Reasoning to listen for</w:t>
      </w:r>
    </w:p>
    <w:p>
      <w:pPr>
        <w:spacing w:line="336" w:lineRule="auto" w:after="180"/>
        <w:shd w:fill="F1F6FC"/>
      </w:pPr>
      <w:r>
        <w:rPr>
          <w:b w:val="0"/>
        </w:rPr>
        <w:t>Teacher check: Teacher explanation: The combination can remain identifying; coded is not necessarily anonymous. Minimise fields and assess disclosure under the declared policy.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Privacy and </w:t>
      </w:r>
      <w:r>
        <w:rPr>
          <w:b/>
        </w:rPr>
        <w:t>data governance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size threshold or coding scheme alone does not guarantee privacy.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Point to the analysis table and the restricted identity key. Why are the codes </w:t>
      </w:r>
      <w:r>
        <w:rPr>
          <w:b/>
        </w:rPr>
        <w:t>pseudonym</w:t>
      </w:r>
      <w:r>
        <w:rPr>
          <w:b w:val="0"/>
        </w:rPr>
        <w:t>ous rather than guaranteed anonymous, and what changes if the key is published?</w:t>
      </w:r>
    </w:p>
    <w:p>
      <w:pPr>
        <w:pStyle w:val="Heading3"/>
      </w:pPr>
      <w:r>
        <w:t>Reasoned teacher answer</w:t>
      </w:r>
    </w:p>
    <w:p>
      <w:pPr>
        <w:spacing w:line="336" w:lineRule="auto" w:after="180"/>
      </w:pPr>
      <w:r>
        <w:rPr>
          <w:b w:val="0"/>
        </w:rPr>
        <w:t>Keep analysis records apart from the identity key. Analysts receive scores and codes, not the name linkage. Apply the approved deletion schedule to both stores and listed copies.</w:t>
      </w:r>
    </w:p>
    <w:p>
      <w:pPr>
        <w:spacing w:line="336" w:lineRule="auto" w:after="180"/>
      </w:pPr>
      <w:r>
        <w:rPr>
          <w:b w:val="0"/>
        </w:rPr>
        <w:t>Changed case: The records become directly linkable to names and breach this access design. Separation only helps while the linkage key remains restricted.</w:t>
      </w:r>
    </w:p>
    <w:p>
      <w:pPr>
        <w:spacing w:line="336" w:lineRule="auto" w:after="180"/>
      </w:pPr>
      <w:r>
        <w:rPr>
          <w:b w:val="0"/>
        </w:rPr>
        <w:t xml:space="preserve">The restricted linkage key makes these </w:t>
      </w:r>
      <w:r>
        <w:rPr>
          <w:b/>
        </w:rPr>
        <w:t>pseudonym</w:t>
      </w:r>
      <w:r>
        <w:rPr>
          <w:b w:val="0"/>
        </w:rPr>
        <w:t>ous records, not guaranteed anonymous ones.</w:t>
      </w:r>
    </w:p>
    <w:p>
      <w:pPr>
        <w:spacing w:line="336" w:lineRule="auto" w:after="180"/>
      </w:pPr>
      <w:r>
        <w:rPr>
          <w:b w:val="0"/>
        </w:rPr>
        <w:t>Changed-case reasoning: The records become directly linkable to names and breach this access design. Separation only helps while the linkage key remains restricted.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Privacy and data governance investigation and use the first unsupported step to choose a teaching response.</w:t>
      </w:r>
    </w:p>
    <w:p>
      <w:pPr>
        <w:spacing w:line="336" w:lineRule="auto" w:after="180"/>
      </w:pPr>
      <w:r>
        <w:rPr>
          <w:b w:val="0"/>
        </w:rPr>
        <w:t>The worked result establishes every future case: A size threshold or coding scheme alone does not guarantee privacy.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Privacy and data governance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The combination can remain identifying; coded is not necessarily anonymous. Minimise fields and assess disclosure under the declared policy.</w:t>
      </w:r>
    </w:p>
    <w:p>
      <w:pPr>
        <w:spacing w:line="336" w:lineRule="auto" w:after="180"/>
      </w:pPr>
      <w:r>
        <w:rPr>
          <w:b w:val="0"/>
        </w:rPr>
        <w:t>Qualification: A size threshold or coding scheme alone does not guarantee privacy.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Data governance</w:t>
      </w:r>
      <w:r>
        <w:rPr>
          <w:b w:val="0"/>
        </w:rPr>
        <w:t xml:space="preserve"> specifies who may use which records, for what purpose and for how long. Coded data can still be reidentifiable.</w:t>
      </w:r>
    </w:p>
    <w:p>
      <w:pPr>
        <w:spacing w:line="336" w:lineRule="auto" w:after="180"/>
        <w:shd w:fill="F1F6FC"/>
      </w:pPr>
      <w:r>
        <w:rPr>
          <w:b w:val="0"/>
        </w:rPr>
        <w:t>For fictional records separate participant-code table from analysis values; limit access and retention. Remove unnecessary fields and small-group details before a permitted aggregate export.</w:t>
      </w:r>
    </w:p>
    <w:p>
      <w:pPr>
        <w:pStyle w:val="Heading3"/>
      </w:pPr>
      <w:r>
        <w:t>W2 Trace the worked case</w:t>
      </w:r>
    </w:p>
    <w:p>
      <w:pPr>
        <w:pStyle w:val="Heading3"/>
      </w:pPr>
      <w:r>
        <w:t>Workbook question · W2</w:t>
      </w:r>
    </w:p>
    <w:p>
      <w:pPr>
        <w:spacing w:line="336" w:lineRule="auto" w:after="180"/>
        <w:shd w:fill="F5F1FB"/>
      </w:pPr>
      <w:r>
        <w:rPr>
          <w:b w:val="0"/>
        </w:rPr>
        <w:t>Export has coded ID, exact birth date, classroom and rare condition. Team calls it anonymous because names are removed. Show the intermediate steps and give the conclusion with its scope.</w:t>
      </w:r>
    </w:p>
    <w:p>
      <w:pPr>
        <w:pStyle w:val="Heading3"/>
      </w:pPr>
      <w:r>
        <w:t>Teacher reasoning · W2</w:t>
      </w:r>
    </w:p>
    <w:p>
      <w:pPr>
        <w:spacing w:line="336" w:lineRule="auto" w:after="180"/>
        <w:shd w:fill="F1F6FC"/>
      </w:pPr>
      <w:r>
        <w:rPr>
          <w:b w:val="0"/>
        </w:rPr>
        <w:t>Teacher explanation: The combination can remain identifying; coded is not necessarily anonymous. Minimise fields and assess disclosure under the declared policy.</w:t>
      </w:r>
    </w:p>
    <w:p>
      <w:pPr>
        <w:pStyle w:val="Heading3"/>
      </w:pPr>
      <w:r>
        <w:t>W3 Audit the limit</w:t>
      </w:r>
    </w:p>
    <w:p>
      <w:pPr>
        <w:pStyle w:val="Heading3"/>
      </w:pPr>
      <w:r>
        <w:t>Workbook question · W3</w:t>
      </w:r>
    </w:p>
    <w:p>
      <w:pPr>
        <w:spacing w:line="336" w:lineRule="auto" w:after="180"/>
        <w:shd w:fill="F5F1FB"/>
      </w:pPr>
      <w:r>
        <w:rPr>
          <w:b w:val="0"/>
        </w:rPr>
        <w:t>A report omits this qualification: A size threshold or coding scheme alone does not guarantee privacy.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 size threshold or coding scheme alone does not guarantee privacy.</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Aggregate contains one member in a subgroup; policy forbids subgroup reports smaller than5. Decide.</w:t>
      </w:r>
    </w:p>
    <w:p>
      <w:pPr>
        <w:pStyle w:val="Heading3"/>
      </w:pPr>
      <w:r>
        <w:t>Teacher reasoning · W4</w:t>
      </w:r>
    </w:p>
    <w:p>
      <w:pPr>
        <w:spacing w:line="336" w:lineRule="auto" w:after="180"/>
        <w:shd w:fill="F1F6FC"/>
      </w:pPr>
      <w:r>
        <w:rPr>
          <w:b w:val="0"/>
        </w:rPr>
        <w:t>Teacher explanation: Do not release that subgroup table under the fictional policy. Combine only where meaningful and permitted, or omit with explanation.</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size threshold or coding scheme alone does not guarantee privacy.</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Do not release that subgroup table under the fictional policy. Combine only where meaningful and permitted, or omit with explanation. Require intermediate reasoning and the stated scope.</w:t>
      </w:r>
    </w:p>
    <w:p>
      <w:pPr>
        <w:spacing w:line="336" w:lineRule="auto" w:after="180"/>
        <w:shd w:fill="F1F6FC"/>
      </w:pPr>
      <w:r>
        <w:rPr>
          <w:b w:val="0"/>
        </w:rPr>
        <w:t>Fresh retry: Subgroups sizes4 and6 under minimum5. Expected reasoning: Size4 fails the release policy; size6 satisfies that size rule but still needs other disclosure checks.</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Aggregate contains one member in a subgroup; policy forbids subgroup reports smaller than5. Decide.</w:t>
      </w:r>
    </w:p>
    <w:p>
      <w:pPr>
        <w:pStyle w:val="Heading3"/>
      </w:pPr>
      <w:r>
        <w:t>Selected case answer</w:t>
      </w:r>
    </w:p>
    <w:p>
      <w:pPr>
        <w:pStyle w:val="Heading3"/>
      </w:pPr>
      <w:r>
        <w:t>Teacher key · Selected case answer</w:t>
      </w:r>
    </w:p>
    <w:p>
      <w:pPr>
        <w:spacing w:line="336" w:lineRule="auto" w:after="180"/>
        <w:shd w:fill="F1F6FC"/>
      </w:pPr>
      <w:r>
        <w:rPr>
          <w:b w:val="0"/>
        </w:rPr>
        <w:t>Teacher explanation: Do not release that subgroup table under the fictional policy. Combine only where meaningful and permitted, or omit with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Privacy and data governance to Reproducible AI Research Study, adapt support and plan a later changed-case check.</w:t>
      </w:r>
    </w:p>
    <w:p>
      <w:pPr>
        <w:spacing w:line="336" w:lineRule="auto" w:after="180"/>
      </w:pPr>
      <w:r>
        <w:rPr>
          <w:b w:val="0"/>
        </w:rPr>
        <w:t xml:space="preserve">Add a labelled privacy and </w:t>
      </w:r>
      <w:r>
        <w:rPr>
          <w:b/>
        </w:rPr>
        <w:t>data governance</w:t>
      </w:r>
      <w:r>
        <w:rPr>
          <w:b w:val="0"/>
        </w:rPr>
        <w:t xml:space="preserve"> </w:t>
      </w:r>
      <w:r>
        <w:rPr>
          <w:b/>
        </w:rPr>
        <w:t>evidence</w:t>
      </w:r>
      <w:r>
        <w:rPr>
          <w:b w:val="0"/>
        </w:rPr>
        <w:t xml:space="preserve"> sheet to Reproducible AI Research Study. Show how you can explain the </w:t>
      </w:r>
      <w:r>
        <w:rPr>
          <w:b/>
        </w:rPr>
        <w:t>mechanism</w:t>
      </w:r>
      <w:r>
        <w:rPr>
          <w:b w:val="0"/>
        </w:rPr>
        <w:t xml:space="preserve"> and terminology of privacy and </w:t>
      </w:r>
      <w:r>
        <w:rPr>
          <w:b/>
        </w:rPr>
        <w:t>data governance</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Predefining an analysis plan.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ai-7/21, ai-7/23, ai-7/26.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Privacy and data governance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privacy and </w:t>
      </w:r>
      <w:r>
        <w:rPr>
          <w:b/>
        </w:rPr>
        <w:t>data governance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Export has coded ID, exact birth date, classroom and rare condition. Team calls it anonymous because names are removed.</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The combination can remain identifying; coded is not necessarily anonymous. Minimise fields and assess disclosure under the declared policy.</w:t>
      </w:r>
    </w:p>
    <w:p>
      <w:pPr>
        <w:spacing w:line="336" w:lineRule="auto" w:after="180"/>
      </w:pPr>
      <w:r>
        <w:rPr>
          <w:b w:val="0"/>
        </w:rPr>
        <w:t xml:space="preserve">Check every learner before discussion: Use the worked case for Privacy and </w:t>
      </w:r>
      <w:r>
        <w:rPr>
          <w:b/>
        </w:rPr>
        <w:t>data governance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size threshold or coding scheme alone does not guarantee privacy.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Publish the identity key with the analysis table. Require a </w:t>
      </w:r>
      <w:r>
        <w:rPr>
          <w:b/>
        </w:rPr>
        <w:t>prediction</w:t>
      </w:r>
      <w:r>
        <w:rPr>
          <w:b w:val="0"/>
        </w:rPr>
        <w:t xml:space="preserve"> and a reason before comparing. Expected result: The records become directly linkable to names and breach this access design.</w:t>
      </w:r>
    </w:p>
    <w:p>
      <w:pPr>
        <w:spacing w:line="336" w:lineRule="auto" w:after="180"/>
        <w:shd w:fill="F5F1FB"/>
      </w:pPr>
      <w:r>
        <w:rPr>
          <w:b w:val="0"/>
        </w:rPr>
        <w:t>Reason: Separation only helps while the linkage key remains restricted.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Privacy and data governance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Privacy and data governance: the case</w:t>
      </w:r>
    </w:p>
    <w:p>
      <w:r>
        <w:drawing>
          <wp:inline xmlns:a="http://schemas.openxmlformats.org/drawingml/2006/main" xmlns:pic="http://schemas.openxmlformats.org/drawingml/2006/picture">
            <wp:extent cx="5486400" cy="2834640"/>
            <wp:docPr id="2" name="Picture 2" descr="Govern data by purpose and access. A fictional project needs task scores and random participant codes, but not names. Supplied facts: The analysis table holds codes and scores. A separate restricted key links codes to names only for authorised withdrawal handling."/>
            <wp:cNvGraphicFramePr>
              <a:graphicFrameLocks noChangeAspect="1"/>
            </wp:cNvGraphicFramePr>
            <a:graphic>
              <a:graphicData uri="http://schemas.openxmlformats.org/drawingml/2006/picture">
                <pic:pic>
                  <pic:nvPicPr>
                    <pic:cNvPr id="0" name="academy-story-ai-7-20-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Govern data by purpose and access. A fictional project needs task scores and random participant codes, but not names. Supplied facts: The analysis table holds codes and scores.</w:t>
      </w:r>
    </w:p>
    <w:p>
      <w:pPr>
        <w:spacing w:line="336" w:lineRule="auto" w:after="180"/>
      </w:pPr>
      <w:r>
        <w:rPr>
          <w:b w:val="0"/>
        </w:rPr>
        <w:t>A separate restricted key links codes to names only for authorised withdrawal handling.</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Separate tables: Keep analysis records apart from the identity key. → Limit access: Analysts receive scores and codes, not the name linkage. → Define retention: Apply the approved deletion schedule to both stores and listed copies."/>
            <wp:cNvGraphicFramePr>
              <a:graphicFrameLocks noChangeAspect="1"/>
            </wp:cNvGraphicFramePr>
            <a:graphic>
              <a:graphicData uri="http://schemas.openxmlformats.org/drawingml/2006/picture">
                <pic:pic>
                  <pic:nvPicPr>
                    <pic:cNvPr id="0" name="academy-story-ai-7-20-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Separate tables: Keep analysis records apart from the identity key. → Limit access: Analysts receive scores and codes, not the name linkage. → Define retention: Apply the approved deletion schedule to both stores and listed copies.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Keep analysis records separate from the identity key</w:t>
      </w:r>
    </w:p>
    <w:p>
      <w:r>
        <w:drawing>
          <wp:inline xmlns:a="http://schemas.openxmlformats.org/drawingml/2006/main" xmlns:pic="http://schemas.openxmlformats.org/drawingml/2006/picture">
            <wp:extent cx="5486400" cy="3520440"/>
            <wp:docPr id="4" name="Picture 4" descr="Analysts receive random participant codes and scores. A separate restricted key links codes to names only for authorised withdrawal handling. Keeping the key restricted reduces exposure; it does not guarantee anonymity."/>
            <wp:cNvGraphicFramePr>
              <a:graphicFrameLocks noChangeAspect="1"/>
            </wp:cNvGraphicFramePr>
            <a:graphic>
              <a:graphicData uri="http://schemas.openxmlformats.org/drawingml/2006/picture">
                <pic:pic>
                  <pic:nvPicPr>
                    <pic:cNvPr id="0" name="academy-story-ai-7-20-03.png"/>
                    <pic:cNvPicPr/>
                  </pic:nvPicPr>
                  <pic:blipFill>
                    <a:blip r:embed="rId12"/>
                    <a:stretch>
                      <a:fillRect/>
                    </a:stretch>
                  </pic:blipFill>
                  <pic:spPr>
                    <a:xfrm>
                      <a:off x="0" y="0"/>
                      <a:ext cx="5486400" cy="3520440"/>
                    </a:xfrm>
                    <a:prstGeom prst="rect"/>
                  </pic:spPr>
                </pic:pic>
              </a:graphicData>
            </a:graphic>
          </wp:inline>
        </w:drawing>
      </w:r>
    </w:p>
    <w:p>
      <w:pPr>
        <w:spacing w:line="336" w:lineRule="auto" w:after="180"/>
      </w:pPr>
      <w:r>
        <w:rPr>
          <w:b w:val="0"/>
        </w:rPr>
        <w:t>Analysts receive random participant codes and scores. A separate restricted key links codes to names only for authorised withdrawal handling. Keeping the key restricted reduces exposure; it does not guarantee anonymity.</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pply the approved deletion schedule to both stores and listed copies. Changed condition: Publish the identity key with the analysis table. Expected result: The records become directly linkable to names and breach this access design. Reason: Separation only helps while the linkage key remains restricted."/>
            <wp:cNvGraphicFramePr>
              <a:graphicFrameLocks noChangeAspect="1"/>
            </wp:cNvGraphicFramePr>
            <a:graphic>
              <a:graphicData uri="http://schemas.openxmlformats.org/drawingml/2006/picture">
                <pic:pic>
                  <pic:nvPicPr>
                    <pic:cNvPr id="0" name="academy-story-ai-7-2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Apply the approved deletion schedule to both stores and listed copies. Changed condition: Publish the identity key with the analysis table.</w:t>
      </w:r>
    </w:p>
    <w:p>
      <w:pPr>
        <w:spacing w:line="336" w:lineRule="auto" w:after="180"/>
      </w:pPr>
      <w:r>
        <w:rPr>
          <w:b w:val="0"/>
        </w:rPr>
        <w:t>Expected result: The records become directly linkable to names and breach this access design. Reason: Separation only helps while the linkage key remains restricted.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Separation only helps while the linkage key remains restricted.</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Pseudonymous codes reduce routine exposure but are not the same as irreversible anonymity. Governance specifies purpose, readers, locations and retention. Limit: Small groups or unusual records may still be identifiable without names; evaluate re-identification risk."/>
            <wp:cNvGraphicFramePr>
              <a:graphicFrameLocks noChangeAspect="1"/>
            </wp:cNvGraphicFramePr>
            <a:graphic>
              <a:graphicData uri="http://schemas.openxmlformats.org/drawingml/2006/picture">
                <pic:pic>
                  <pic:nvPicPr>
                    <pic:cNvPr id="0" name="academy-story-ai-7-2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Pseudonym</w:t>
      </w:r>
      <w:r>
        <w:rPr>
          <w:b w:val="0"/>
        </w:rPr>
        <w:t>ous codes reduce routine exposure but are not the same as irreversible anonymity. Governance specifies purpose, readers, locations and retention.</w:t>
      </w:r>
    </w:p>
    <w:p>
      <w:pPr>
        <w:spacing w:line="336" w:lineRule="auto" w:after="180"/>
      </w:pPr>
      <w:r>
        <w:rPr>
          <w:b w:val="0"/>
        </w:rPr>
        <w:t>Limit: Small groups or unusual records may still be identifiable without names; evaluate re-identification risk.</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Small groups or unusual records may still be identifiable without names; evaluate re-identification risk.</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Point to the analysis table and the restricted identity key. Why are the codes pseudonymous rather than guaranteed anonymous, and what changes if the key is published?"/>
            <wp:cNvGraphicFramePr>
              <a:graphicFrameLocks noChangeAspect="1"/>
            </wp:cNvGraphicFramePr>
            <a:graphic>
              <a:graphicData uri="http://schemas.openxmlformats.org/drawingml/2006/picture">
                <pic:pic>
                  <pic:nvPicPr>
                    <pic:cNvPr id="0" name="academy-story-ai-7-20-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Point to the analysis table and the restricted identity key.</w:t>
      </w:r>
    </w:p>
    <w:p>
      <w:pPr>
        <w:spacing w:line="336" w:lineRule="auto" w:after="180"/>
      </w:pPr>
      <w:r>
        <w:rPr>
          <w:b w:val="0"/>
        </w:rPr>
        <w:t xml:space="preserve">Why are the codes </w:t>
      </w:r>
      <w:r>
        <w:rPr>
          <w:b/>
        </w:rPr>
        <w:t>pseudonym</w:t>
      </w:r>
      <w:r>
        <w:rPr>
          <w:b w:val="0"/>
        </w:rPr>
        <w:t>ous rather than guaranteed anonymous, and what changes if the key is published?</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Keep analysis records apart from the identity key. Analysts receive scores and codes, not the name linkage. Apply the approved deletion schedule to both stores and listed copies.</w:t>
      </w:r>
    </w:p>
    <w:p>
      <w:pPr>
        <w:spacing w:line="336" w:lineRule="auto" w:after="180"/>
        <w:shd w:fill="F1F6F8"/>
      </w:pPr>
      <w:r>
        <w:rPr>
          <w:b w:val="0"/>
        </w:rPr>
        <w:t>Changed case: The records become directly linkable to names and breach this access design. Separation only helps while the linkage key remains restricted.</w:t>
      </w:r>
    </w:p>
    <w:p>
      <w:pPr>
        <w:spacing w:line="336" w:lineRule="auto" w:after="180"/>
        <w:shd w:fill="F1F6F8"/>
      </w:pPr>
      <w:r>
        <w:rPr>
          <w:b w:val="0"/>
        </w:rPr>
        <w:t xml:space="preserve">The restricted linkage key makes these </w:t>
      </w:r>
      <w:r>
        <w:rPr>
          <w:b/>
        </w:rPr>
        <w:t>pseudonym</w:t>
      </w:r>
      <w:r>
        <w:rPr>
          <w:b w:val="0"/>
        </w:rPr>
        <w:t>ous records, not guaranteed anonymous ones.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