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ai-6/30</w:t>
      </w:r>
    </w:p>
    <w:p>
      <w:pPr>
        <w:pStyle w:val="Title"/>
      </w:pPr>
      <w:r>
        <w:t>Security and privacy review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Security and privacy review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Performance and cost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escalation workflows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Release and rollback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Security and </w:t>
      </w:r>
      <w:r>
        <w:rPr>
          <w:b/>
        </w:rPr>
        <w:t>privacy review</w:t>
      </w:r>
      <w:r>
        <w:rPr>
          <w:b w:val="0"/>
        </w:rPr>
        <w:t xml:space="preserve"> checks assets, actors, data flows and permissions against explicit threats. A clean happy path does not test misuse.</w:t>
      </w:r>
    </w:p>
    <w:p>
      <w:pPr>
        <w:spacing w:line="336" w:lineRule="auto" w:after="180"/>
      </w:pPr>
      <w:r>
        <w:rPr>
          <w:b w:val="0"/>
        </w:rPr>
        <w:t>For the classroom service identify restricted guides, session secrets and student content. Test denied roles, unexpected fields, source injection and minimised logging without real credentials.</w:t>
      </w:r>
    </w:p>
    <w:p>
      <w:pPr>
        <w:pStyle w:val="Heading1"/>
      </w:pPr>
      <w:r>
        <w:t>02. Practise with fading help</w:t>
      </w:r>
    </w:p>
    <w:p>
      <w:r>
        <w:t>Complete the supported Security and privacy review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Security and </w:t>
      </w:r>
      <w:r>
        <w:rPr>
          <w:b/>
        </w:rPr>
        <w:t>privacy review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Security and privacy review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Security and </w:t>
      </w:r>
      <w:r>
        <w:rPr>
          <w:b/>
        </w:rPr>
        <w:t>privacy review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Service blocks direct teacher lookup but diagnostic export includes full teacher answers. Identify defect and a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Security and privacy review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Security and privacy review facts and keep your reasoning.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Security and privacy review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Review findings are bounded by tested paths and threat assumptions, not a proof of complete security.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Security and privacy review facts and keep your reasoning.</w:t>
      </w:r>
    </w:p>
    <w:p>
      <w:pPr>
        <w:spacing w:line="336" w:lineRule="auto" w:after="180"/>
      </w:pPr>
      <w:r>
        <w:rPr>
          <w:b w:val="0"/>
        </w:rPr>
        <w:t>Service blocks direct teacher lookup but diagnostic export includes full teacher answers. Identify defect and a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Security and privacy review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Security and privacy review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security and </w:t>
      </w:r>
      <w:r>
        <w:rPr>
          <w:b/>
        </w:rPr>
        <w:t>privacy review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security and </w:t>
      </w:r>
      <w:r>
        <w:rPr>
          <w:b/>
        </w:rPr>
        <w:t>privacy review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Security and privacy review</w:t>
      </w:r>
    </w:p>
    <w:p>
      <w:r>
        <w:t>Review a private note’s path. A revision service reads a learner’s private practice note; analytics need counts only.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</w:t>
      </w:r>
    </w:p>
    <w:p>
      <w:pPr>
        <w:spacing w:line="336" w:lineRule="auto" w:after="180"/>
      </w:pPr>
      <w:r>
        <w:rPr>
          <w:b w:val="0"/>
        </w:rPr>
        <w:t>Only the learner and assigned teacher may read note text. The dashboard is authorised for aggregate counts, not notes.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ecurity and privacy review. Map content path: The authorised revision service receives the note.. Check readers: The stated learner and teacher can retrieve its text.. Minimise analytics: Send revision counts without copying private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Trace private note content and analytics counts to their permitted readers. Why is storing full notes in the dashboard outside this design, and what risk can remain for tiny-group counts?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Send revision counts without copying private notes.</w:t>
      </w:r>
    </w:p>
    <w:p>
      <w:pPr>
        <w:spacing w:line="336" w:lineRule="auto" w:after="180"/>
        <w:shd w:fill="F4F9FC"/>
      </w:pPr>
      <w:r>
        <w:rPr>
          <w:b w:val="0"/>
        </w:rPr>
        <w:t>1. Map content path</w:t>
      </w:r>
    </w:p>
    <w:p>
      <w:pPr>
        <w:spacing w:line="336" w:lineRule="auto" w:after="180"/>
        <w:shd w:fill="F4F9FC"/>
      </w:pPr>
      <w:r>
        <w:rPr>
          <w:b w:val="0"/>
        </w:rPr>
        <w:t>2. Check readers</w:t>
      </w:r>
    </w:p>
    <w:p>
      <w:pPr>
        <w:spacing w:line="336" w:lineRule="auto" w:after="180"/>
        <w:shd w:fill="F4F9FC"/>
      </w:pPr>
      <w:r>
        <w:rPr>
          <w:b w:val="0"/>
        </w:rPr>
        <w:t>3. Minimise analytics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Minimise analytics Send revision counts without copying private notes. A </w:t>
      </w:r>
      <w:r>
        <w:rPr>
          <w:b/>
        </w:rPr>
        <w:t>privacy review</w:t>
      </w:r>
      <w:r>
        <w:rPr>
          <w:b w:val="0"/>
        </w:rPr>
        <w:t xml:space="preserve"> follows data and authority through components.</w:t>
      </w:r>
    </w:p>
    <w:p>
      <w:pPr>
        <w:spacing w:line="336" w:lineRule="auto" w:after="180"/>
        <w:shd w:fill="F1F6FC"/>
      </w:pPr>
      <w:r>
        <w:rPr>
          <w:b w:val="0"/>
        </w:rPr>
        <w:t>A useful dashboard does not automatically need every underlying private detail.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dashboard starts storing full notes.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Flag the unapproved content path and remove it from the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Flag the unapproved content path and remove it from the design. Its count-only purpose does not grant note-reading permission.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Security and privacy review picture from its labels, then record a relevant limit.</w:t>
      </w:r>
    </w:p>
    <w:p>
      <w:pPr>
        <w:pStyle w:val="Heading3"/>
      </w:pPr>
      <w:r>
        <w:t>01. Security and privacy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view a private note’s path. A revision service reads a learner’s private practice note; analytics need counts only. Supplied facts: Only the learner and assigned teacher may read note text. The dashboard is authorised for aggregate counts, not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 Supplied facts: Only the learner and assigned teacher may read note text.</w:t>
      </w:r>
    </w:p>
    <w:p>
      <w:pPr>
        <w:spacing w:line="336" w:lineRule="auto" w:after="180"/>
      </w:pPr>
      <w:r>
        <w:rPr>
          <w:b w:val="0"/>
        </w:rPr>
        <w:t>The dashboard is authorised for aggregate counts, not notes.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Map content path: The authorised revision service receives the note. → Check readers: The stated learner and teacher can retrieve its text. → Minimise analytics: Send revision counts without copying private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Map content path: The authorised revision service receives the note. → Check readers: The stated learner and teacher can retrieve its text. → Minimise analytics: Send revision counts without copying private notes.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Security and privacy review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ecurity and privacy review — evidence trace. Output denies teacher guide, but cache contains it under a student-accessible key. | For the classroom service identify restricted guides, session secrets and student content. Test denied roles, unexpected fields, source injection and minimised logging without real credentials. | Access remains broken through the cache path. Review every storage/return path and assert restricted data never reaches student output/contex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Security and </w:t>
      </w:r>
      <w:r>
        <w:rPr>
          <w:b/>
        </w:rPr>
        <w:t>privacy review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 | For the classroom service identify restricted guides, session secrets and student content.</w:t>
      </w:r>
    </w:p>
    <w:p>
      <w:pPr>
        <w:spacing w:line="336" w:lineRule="auto" w:after="180"/>
      </w:pPr>
      <w:r>
        <w:rPr>
          <w:b w:val="0"/>
        </w:rPr>
        <w:t>Test denied roles, unexpected fields, source injection and minimised logging without real credentials. | Access remains broken through the cache path.</w:t>
      </w:r>
    </w:p>
    <w:p>
      <w:pPr>
        <w:spacing w:line="336" w:lineRule="auto" w:after="180"/>
      </w:pPr>
      <w:r>
        <w:rPr>
          <w:b w:val="0"/>
        </w:rPr>
        <w:t xml:space="preserve">Review every storage/return path and assert restricted data never reaches student </w:t>
      </w:r>
      <w:r>
        <w:rPr>
          <w:b/>
        </w:rPr>
        <w:t>output</w:t>
      </w:r>
      <w:r>
        <w:rPr>
          <w:b w:val="0"/>
        </w:rPr>
        <w:t>/context.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end revision counts without copying private notes. Changed condition: The dashboard starts storing full notes. Expected result: Flag the unapproved content path and remove it from the design. Reason: Its count-only purpose does not grant note-reading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Send revision counts without copying private notes. Changed condition: The dashboard starts storing full notes. Expected result: Flag the unapproved content path and remove it from the design.</w:t>
      </w:r>
    </w:p>
    <w:p>
      <w:pPr>
        <w:spacing w:line="336" w:lineRule="auto" w:after="180"/>
      </w:pPr>
      <w:r>
        <w:rPr>
          <w:b w:val="0"/>
        </w:rPr>
        <w:t>Reason: Its count-only purpose does not grant note-reading permission.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rivacy review follows data and authority through components. A useful dashboard does not automatically need every underlying private detail. Limit: Tiny-group aggregates can still reveal individuals; evaluate linkability, access and ret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privacy review</w:t>
      </w:r>
      <w:r>
        <w:rPr>
          <w:b w:val="0"/>
        </w:rPr>
        <w:t xml:space="preserve"> follows data and authority through components. A useful dashboard does not automatically need every underlying private detail.</w:t>
      </w:r>
    </w:p>
    <w:p>
      <w:pPr>
        <w:spacing w:line="336" w:lineRule="auto" w:after="180"/>
      </w:pPr>
      <w:r>
        <w:rPr>
          <w:b w:val="0"/>
        </w:rPr>
        <w:t>Limit: Tiny-group aggregates can still reveal individuals; evaluate linkability, access and retention.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private note content and analytics counts to their permitted readers. Why is storing full notes in the dashboard outside this design, and what risk can remain for tiny-group count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