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ai-3/31</w:t>
      </w:r>
    </w:p>
    <w:p>
      <w:pPr>
        <w:pStyle w:val="Title"/>
      </w:pPr>
      <w:r>
        <w:t>Safety Boundaries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31: permission is tied to a defined task.</w:t>
      </w:r>
    </w:p>
    <w:p>
      <w:pPr>
        <w:pStyle w:val="Heading1"/>
      </w:pPr>
      <w:r>
        <w:t>01. Your mission</w:t>
      </w:r>
    </w:p>
    <w:p>
      <w:r>
        <w:t>Start with the target: Explain the mechanism and terminology of untrusted input boundaries.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untrusted input</w:t>
      </w:r>
      <w:r>
        <w:rPr>
          <w:b w:val="0"/>
        </w:rPr>
        <w:t xml:space="preserve"> boundaries.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Bias and Representation.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by Design.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Quality Rubrics.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31: Safety Boundaries</w:t>
      </w:r>
    </w:p>
    <w:p>
      <w:pPr>
        <w:spacing w:line="336" w:lineRule="auto" w:after="180"/>
      </w:pPr>
      <w:r>
        <w:rPr>
          <w:b w:val="0"/>
        </w:rPr>
        <w:t xml:space="preserve">Systems need </w:t>
      </w:r>
      <w:r>
        <w:rPr>
          <w:b/>
        </w:rPr>
        <w:t>refusal</w:t>
      </w:r>
      <w:r>
        <w:rPr>
          <w:b w:val="0"/>
        </w:rPr>
        <w:t xml:space="preserve">, warning, </w:t>
      </w:r>
      <w:r>
        <w:rPr>
          <w:b/>
        </w:rPr>
        <w:t>escalation</w:t>
      </w:r>
      <w:r>
        <w:rPr>
          <w:b w:val="0"/>
        </w:rPr>
        <w:t>, and human-review policies.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1 illustration: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6fa9131cbdb6402a2414e7837bbf645438ffe9299a7975f3fc961fc7b2b64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>Write safe behavior for three classroom risk levels.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External side effects and recovery.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Readiness for Abstention and clarification</w:t>
      </w:r>
    </w:p>
    <w:p>
      <w:pPr>
        <w:spacing w:line="336" w:lineRule="auto" w:after="180"/>
      </w:pPr>
      <w:r>
        <w:rPr>
          <w:b w:val="0"/>
        </w:rPr>
        <w:t xml:space="preserve">Recall Claim support and citation evaluation.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explain safety boundaries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Safety Boundaries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6fa9131cbdb6402a2414e7837bbf645438ffe9299a7975f3fc961fc7b2b64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safety boundaries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/>
        </w:rPr>
        <w:t>Untrusted input</w:t>
      </w:r>
      <w:r>
        <w:rPr>
          <w:b w:val="0"/>
        </w:rPr>
        <w:t xml:space="preserve"> must be treated according to a contract before reaching code, queries or tools. Data that resembles instructions does not acquire execution authority.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Apply the connected idea: Abstention and clarification</w:t>
      </w:r>
    </w:p>
    <w:p>
      <w:pPr>
        <w:spacing w:line="336" w:lineRule="auto" w:after="180"/>
      </w:pPr>
      <w:r>
        <w:rPr>
          <w:b/>
        </w:rPr>
        <w:t>Abstention</w:t>
      </w:r>
      <w:r>
        <w:rPr>
          <w:b w:val="0"/>
        </w:rPr>
        <w:t xml:space="preserve"> and </w:t>
      </w:r>
      <w:r>
        <w:rPr>
          <w:b/>
        </w:rPr>
        <w:t>clarification</w:t>
      </w:r>
      <w:r>
        <w:rPr>
          <w:b w:val="0"/>
        </w:rPr>
        <w:t xml:space="preserve"> are valid responses when necessary </w:t>
      </w:r>
      <w:r>
        <w:rPr>
          <w:b/>
        </w:rPr>
        <w:t>evidence</w:t>
      </w:r>
      <w:r>
        <w:rPr>
          <w:b w:val="0"/>
        </w:rPr>
        <w:t xml:space="preserve"> is missing. Ask for the smallest fact that can resolve the decision.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Safety Boundaries.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7604d248c0b8127e5550a73eaff40fd000a4fe4b4e285c6e4900beadf3730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a91591a17eb9a7f5939e2695111fff9040f3918f5d53d8f4a2026cbff0fcf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8e241a09b5b60943965915c6999042ca2aaa7302d843d6ed3f14e39945273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For the toy lookup accept room IDs matching one uppercase letter plus one digit. Perform exact dictionary lookup; never evaluate user strings as code. Reject invalid length or characters.</w:t>
      </w:r>
    </w:p>
    <w:p>
      <w:pPr>
        <w:pStyle w:val="Heading3"/>
      </w:pPr>
      <w:r>
        <w:t>Untrusted input boundaries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Inputs A1 and delete_all() are supplied to room lookup.</w:t>
            </w:r>
          </w:p>
        </w:tc>
        <w:tc>
          <w:tcPr>
            <w:tcW w:type="dxa" w:w="3408"/>
          </w:tcPr>
          <w:p>
            <w:r>
              <w:t>For the toy lookup accept room IDs matching one uppercase letter plus one digit. Perform exact dictionary lookup; never evaluate user strings as code. Reject invalid length or characters.</w:t>
            </w:r>
          </w:p>
        </w:tc>
        <w:tc>
          <w:tcPr>
            <w:tcW w:type="dxa" w:w="3408"/>
          </w:tcPr>
          <w:p>
            <w:r>
              <w:t>A1 passes the format; delete_all() fails. Neither is executed as code, including any instruction-shaped string.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</w:t>
      </w:r>
      <w:r>
        <w:rPr>
          <w:b/>
        </w:rPr>
        <w:t>boundary</w:t>
      </w:r>
      <w:r>
        <w:rPr>
          <w:b w:val="0"/>
        </w:rPr>
        <w:t xml:space="preserve">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Apply the connected idea: Abstention and clarification</w:t>
      </w:r>
    </w:p>
    <w:p>
      <w:pPr>
        <w:spacing w:line="336" w:lineRule="auto" w:after="180"/>
      </w:pPr>
      <w:r>
        <w:rPr>
          <w:b w:val="0"/>
        </w:rPr>
        <w:t xml:space="preserve">Separate answerable claims from unresolved ones. Clarify ambiguous </w:t>
      </w:r>
      <w:r>
        <w:rPr>
          <w:b/>
        </w:rPr>
        <w:t>input</w:t>
      </w:r>
      <w:r>
        <w:rPr>
          <w:b w:val="0"/>
        </w:rPr>
        <w:t xml:space="preserve"> when a user can supply the needed fact; abstain from unsupported conclusions when </w:t>
      </w:r>
      <w:r>
        <w:rPr>
          <w:b/>
        </w:rPr>
        <w:t>evidence</w:t>
      </w:r>
      <w:r>
        <w:rPr>
          <w:b w:val="0"/>
        </w:rPr>
        <w:t xml:space="preserve"> is unavailable. Define acceptable fallback before evaluation.</w:t>
      </w:r>
    </w:p>
    <w:p>
      <w:pPr>
        <w:pStyle w:val="Heading3"/>
      </w:pPr>
      <w:r>
        <w:t>Abstention and clarification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Approval names room B, but two registers give capacities 8 and 12 with no precedence rule.</w:t>
            </w:r>
          </w:p>
        </w:tc>
        <w:tc>
          <w:tcPr>
            <w:tcW w:type="dxa" w:w="3408"/>
          </w:tcPr>
          <w:p>
            <w:r>
              <w:t>Separate answerable claims from unresolved ones. Clarify ambiguous input when a user can supply the needed fact; abstain from unsupported conclusions when evidence is unavailable. Define acceptable fallback before evaluation.</w:t>
            </w:r>
          </w:p>
        </w:tc>
        <w:tc>
          <w:tcPr>
            <w:tcW w:type="dxa" w:w="3408"/>
          </w:tcPr>
          <w:p>
            <w:r>
              <w:t>Do not pick the larger or smaller value as established fact. Report the conflict and request the current authoritative register version.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</w:t>
      </w:r>
      <w:r>
        <w:rPr>
          <w:b/>
        </w:rPr>
        <w:t>boundary</w:t>
      </w:r>
      <w:r>
        <w:rPr>
          <w:b w:val="0"/>
        </w:rPr>
        <w:t xml:space="preserve">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Safety Boundaries.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</w:t>
      </w:r>
      <w:r>
        <w:rPr>
          <w:b/>
        </w:rPr>
        <w:t>BOUNDARY</w:t>
      </w:r>
      <w:r>
        <w:rPr>
          <w:b w:val="0"/>
        </w:rPr>
        <w:t xml:space="preserve">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AB7 to Ab7.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Reject it under the exact uppercase rule.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Lowercase b fails the declared pattern even though the identifier looks similar.</w:t>
      </w:r>
    </w:p>
    <w:p>
      <w:pPr>
        <w:pStyle w:val="Heading1"/>
      </w:pPr>
      <w:r>
        <w:t>05. Words that unlock the idea</w:t>
      </w:r>
    </w:p>
    <w:p>
      <w:r>
        <w:t>Use the vocabulary of Safety Boundaries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697120776e9e7930a43017af6a05b86ed2ca9289bbff3c679cc0d66ccc3ab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refus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bc8c7dee837dd57e776e7bb0312df6c98705f42cc8eb149f80b6ba70527e7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esca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cb69afc8a308f3bae6d7415b9d35f1ea06434794c3c1929e08c416b02aa03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safe comple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72ec5139554760938ec19c4e278c977f6cb55dd76a7bacbe7e8891a99bbae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boundary</w:t>
            </w:r>
          </w:p>
        </w:tc>
        <w:tc>
          <w:tcPr>
            <w:tcW w:type="dxa" w:w="3408"/>
          </w:tcPr>
          <w:p>
            <w:r>
              <w:t>A dividing condition between categories, actions or allowed behaviours.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refusal</w:t>
            </w:r>
          </w:p>
        </w:tc>
        <w:tc>
          <w:tcPr>
            <w:tcW w:type="dxa" w:w="3408"/>
          </w:tcPr>
          <w:p>
            <w:r>
              <w:t>A decision not to perform a request because it is outside the system's permitted scope.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escalation</w:t>
            </w:r>
          </w:p>
        </w:tc>
        <w:tc>
          <w:tcPr>
            <w:tcW w:type="dxa" w:w="3408"/>
          </w:tcPr>
          <w:p>
            <w:r>
              <w:t>Passing a problem or decision to a person or process with appropriate authority or expertise.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safe completion</w:t>
            </w:r>
          </w:p>
        </w:tc>
        <w:tc>
          <w:tcPr>
            <w:tcW w:type="dxa" w:w="3408"/>
          </w:tcPr>
          <w:p>
            <w:r>
              <w:t>A response that helps with the permitted part of a task while respecting its boundaries.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Untrusted input</w:t>
            </w:r>
          </w:p>
        </w:tc>
        <w:tc>
          <w:tcPr>
            <w:tcW w:type="dxa" w:w="5112"/>
          </w:tcPr>
          <w:p>
            <w:r>
              <w:t>Data whose claims or control intent have not been authorised</w:t>
            </w:r>
          </w:p>
        </w:tc>
      </w:tr>
      <w:tr>
        <w:tc>
          <w:tcPr>
            <w:tcW w:type="dxa" w:w="5112"/>
          </w:tcPr>
          <w:p>
            <w:r>
              <w:t>Full match</w:t>
            </w:r>
          </w:p>
        </w:tc>
        <w:tc>
          <w:tcPr>
            <w:tcW w:type="dxa" w:w="5112"/>
          </w:tcPr>
          <w:p>
            <w:r>
              <w:t>Validation covering the whole input</w:t>
            </w:r>
          </w:p>
        </w:tc>
      </w:tr>
      <w:tr>
        <w:tc>
          <w:tcPr>
            <w:tcW w:type="dxa" w:w="5112"/>
          </w:tcPr>
          <w:p>
            <w:r>
              <w:t>Injection boundary</w:t>
            </w:r>
          </w:p>
        </w:tc>
        <w:tc>
          <w:tcPr>
            <w:tcW w:type="dxa" w:w="5112"/>
          </w:tcPr>
          <w:p>
            <w:r>
              <w:t>A separation preventing data from becoming executable control</w:t>
            </w:r>
          </w:p>
        </w:tc>
      </w:tr>
    </w:tbl>
    <w:p>
      <w:pPr>
        <w:pStyle w:val="Heading3"/>
      </w:pPr>
      <w:r>
        <w:t>Terms for Abstention and clarification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Abstention</w:t>
            </w:r>
          </w:p>
        </w:tc>
        <w:tc>
          <w:tcPr>
            <w:tcW w:type="dxa" w:w="5112"/>
          </w:tcPr>
          <w:p>
            <w:r>
              <w:t>Declining to state an unsupported conclusion</w:t>
            </w:r>
          </w:p>
        </w:tc>
      </w:tr>
      <w:tr>
        <w:tc>
          <w:tcPr>
            <w:tcW w:type="dxa" w:w="5112"/>
          </w:tcPr>
          <w:p>
            <w:r>
              <w:t>Clarification</w:t>
            </w:r>
          </w:p>
        </w:tc>
        <w:tc>
          <w:tcPr>
            <w:tcW w:type="dxa" w:w="5112"/>
          </w:tcPr>
          <w:p>
            <w:r>
              <w:t>A targeted request for missing or ambiguous information</w:t>
            </w:r>
          </w:p>
        </w:tc>
      </w:tr>
      <w:tr>
        <w:tc>
          <w:tcPr>
            <w:tcW w:type="dxa" w:w="5112"/>
          </w:tcPr>
          <w:p>
            <w:r>
              <w:t>Answerability</w:t>
            </w:r>
          </w:p>
        </w:tc>
        <w:tc>
          <w:tcPr>
            <w:tcW w:type="dxa" w:w="5112"/>
          </w:tcPr>
          <w:p>
            <w:r>
              <w:t>Whether supplied evidence can support the requested conclusion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Safety Boundaries,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2f10308f2601446e223284e7d3c4eeee146f24bf312a5209e9b3170d761c0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Low risk: answer a source-grounded study question.</w:t>
      </w:r>
    </w:p>
    <w:p>
      <w:pPr>
        <w:spacing w:line="336" w:lineRule="auto" w:after="180"/>
        <w:shd w:fill="F4F9FC"/>
      </w:pPr>
      <w:r>
        <w:rPr>
          <w:b w:val="0"/>
        </w:rPr>
        <w:t>2. Uncertain risk: warn, ask for context, or request adult help.</w:t>
      </w:r>
    </w:p>
    <w:p>
      <w:pPr>
        <w:spacing w:line="336" w:lineRule="auto" w:after="180"/>
        <w:shd w:fill="F4F9FC"/>
      </w:pPr>
      <w:r>
        <w:rPr>
          <w:b w:val="0"/>
        </w:rPr>
        <w:t>3. Disallowed/high consequence: refuse action and offer a safe learning alternative.</w:t>
      </w:r>
    </w:p>
    <w:p>
      <w:pPr>
        <w:spacing w:line="336" w:lineRule="auto" w:after="180"/>
        <w:shd w:fill="F4F9FC"/>
      </w:pPr>
      <w:r>
        <w:rPr>
          <w:b w:val="0"/>
        </w:rPr>
        <w:t>4. Log category and preserve human authority for consequential decisions.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A1 and delete_all() are supplied to room lookup.</w:t>
      </w:r>
    </w:p>
    <w:p>
      <w:pPr>
        <w:spacing w:line="336" w:lineRule="auto" w:after="180"/>
      </w:pPr>
      <w:r>
        <w:rPr>
          <w:b w:val="0"/>
        </w:rPr>
        <w:t>A1 passes the format; delete_all() fails. Neither is executed as code, including any instruction-shaped string.</w:t>
      </w:r>
    </w:p>
    <w:p>
      <w:pPr>
        <w:pStyle w:val="Heading3"/>
      </w:pPr>
      <w:r>
        <w:t>Worked explanation · Safety Boundaries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Safety Boundaries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</w:t>
      </w:r>
      <w:r>
        <w:rPr>
          <w:b/>
        </w:rPr>
        <w:t>boundary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import re</w:t>
        <w:br/>
        <w:br/>
        <w:t>def validate_identifier(value):</w:t>
        <w:br/>
        <w:t xml:space="preserve">    return type(value) is str and re.fullmatch('[A-Z][0-9]', value) is not None</w:t>
        <w:br/>
        <w:br/>
        <w:t>print(validate_identifier("B2"))</w:t>
      </w:r>
    </w:p>
    <w:p>
      <w:pPr>
        <w:pStyle w:val="Heading3"/>
      </w:pPr>
      <w:r>
        <w:t>Apply the connected idea: Abstention and clarification</w:t>
      </w:r>
    </w:p>
    <w:p>
      <w:pPr>
        <w:spacing w:line="336" w:lineRule="auto" w:after="180"/>
      </w:pPr>
      <w:r>
        <w:rPr>
          <w:b w:val="0"/>
        </w:rPr>
        <w:t>Approval names room B, but two registers give capacities 8 and 12 with no precedence rule. The question asks maximum attendance.</w:t>
      </w:r>
    </w:p>
    <w:p>
      <w:pPr>
        <w:spacing w:line="336" w:lineRule="auto" w:after="180"/>
      </w:pPr>
      <w:r>
        <w:rPr>
          <w:b w:val="0"/>
        </w:rPr>
        <w:t>Do not pick the larger or smaller value as established fact. Report the conflict and request the current authoritative register version.</w:t>
      </w:r>
    </w:p>
    <w:p>
      <w:pPr>
        <w:pStyle w:val="Heading3"/>
      </w:pPr>
      <w:r>
        <w:t>Worked explanation · Safety Boundaries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Safety Boundaries</w:t>
      </w:r>
    </w:p>
    <w:p>
      <w:pPr>
        <w:spacing w:line="336" w:lineRule="auto" w:after="180"/>
      </w:pPr>
      <w:r>
        <w:rPr>
          <w:b w:val="0"/>
        </w:rPr>
        <w:t xml:space="preserve">Make a strict lookup identifier </w:t>
      </w:r>
      <w:r>
        <w:rPr>
          <w:b/>
        </w:rPr>
        <w:t>boundary</w:t>
      </w:r>
      <w:r>
        <w:rPr>
          <w:b w:val="0"/>
        </w:rPr>
        <w:t xml:space="preserve"> visible.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Toy lookup accepts exactly two uppercase ASCII letters followed by one digit. Accepted example: AB7. No trimming or extra characters are allowed.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5" name="Picture 15" descr="Safety Boundaries. Check pattern: AB7 has two permitted letters and one digit, with no extra characters.. Reject extra text: AB7; send() violates the exact identifier pattern..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pattern</w:t>
            </w:r>
          </w:p>
        </w:tc>
        <w:tc>
          <w:tcPr>
            <w:tcW w:type="dxa" w:w="5112"/>
          </w:tcPr>
          <w:p>
            <w:r>
              <w:t>AB7 has two permitted letters and one digit, with no extra characters.</w:t>
            </w:r>
          </w:p>
        </w:tc>
      </w:tr>
      <w:tr>
        <w:tc>
          <w:tcPr>
            <w:tcW w:type="dxa" w:w="5112"/>
          </w:tcPr>
          <w:p>
            <w:r>
              <w:t>2. Reject extra text</w:t>
            </w:r>
          </w:p>
        </w:tc>
        <w:tc>
          <w:tcPr>
            <w:tcW w:type="dxa" w:w="5112"/>
          </w:tcPr>
          <w:p>
            <w:r>
              <w:t>AB7; send() violates the exact identifier pattern.</w:t>
            </w:r>
          </w:p>
        </w:tc>
      </w:tr>
      <w:tr>
        <w:tc>
          <w:tcPr>
            <w:tcW w:type="dxa" w:w="5112"/>
          </w:tcPr>
          <w:p>
            <w:r>
              <w:t>3. Separate authority</w:t>
            </w:r>
          </w:p>
        </w:tc>
        <w:tc>
          <w:tcPr>
            <w:tcW w:type="dxa" w:w="5112"/>
          </w:tcPr>
          <w:p>
            <w:r>
              <w:t>Pattern acceptance only allows the next lookup check; it grants no access to restricted records.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Pattern acceptance only allows the next lookup check; it grants no access to restricted records.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Strict formatting is one </w:t>
      </w:r>
      <w:r>
        <w:rPr>
          <w:b/>
        </w:rPr>
        <w:t>boundary</w:t>
      </w:r>
      <w:r>
        <w:rPr>
          <w:b w:val="0"/>
        </w:rPr>
        <w:t>; it does not solve every injection or authorisation problem.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If AB7 passes the pattern, may it access teacher-only material?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AB7 to Ab7.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Safety Boundaries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f34c06e0c6071639eea7b803bb30735b7216d7061ab9d3c98cbe7391edb4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Abstention and clarification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Safety Boundaries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format check does not grant resource access; authorisation follows separately.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Abstention and clarification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abstention</w:t>
      </w:r>
      <w:r>
        <w:rPr>
          <w:b w:val="0"/>
        </w:rPr>
        <w:t xml:space="preserve"> avoids an unsupported answer but does not automatically make a system useful; evaluate appropriate answers and appropriate fallbacks separately.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Untrusted input</w:t>
      </w:r>
      <w:r>
        <w:rPr>
          <w:b w:val="0"/>
        </w:rPr>
        <w:t xml:space="preserve"> boundaries”.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Untrusted input</w:t>
      </w:r>
      <w:r>
        <w:rPr>
          <w:b w:val="0"/>
        </w:rPr>
        <w:t xml:space="preserve"> boundaries.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Practise the connected topic: Abstention and clarification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The worked result establishes every future case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If AB7 passes the pattern, may it access teacher-only material?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Safety Boundaries.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61fab7f62bb8b2e630927b1d401c26fe92388699d9d5b2648b21b0936beb5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Classify classroom scenarios, write allow/warn/refuse/escalate behavior, and test both over-</w:t>
      </w:r>
      <w:r>
        <w:rPr>
          <w:b/>
        </w:rPr>
        <w:t>refusal</w:t>
      </w:r>
      <w:r>
        <w:rPr>
          <w:b w:val="0"/>
        </w:rPr>
        <w:t xml:space="preserve"> and unsafe compliance.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Safety Boundaries.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 xml:space="preserve">4 • CHALLENGE: Find a </w:t>
      </w:r>
      <w:r>
        <w:rPr>
          <w:b/>
        </w:rPr>
        <w:t>boundary</w:t>
      </w:r>
      <w:r>
        <w:rPr>
          <w:b w:val="0"/>
        </w:rPr>
        <w:t xml:space="preserve">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7d1207b302aea5959b66b0d9ac7c373defb80e0d3f5876b297b0f34ed3fc8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Implement risk levels, </w:t>
      </w:r>
      <w:r>
        <w:rPr>
          <w:b/>
        </w:rPr>
        <w:t>refusal</w:t>
      </w:r>
      <w:r>
        <w:rPr>
          <w:b w:val="0"/>
        </w:rPr>
        <w:t xml:space="preserve"> language, safe alternatives, and teacher-review gates.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55ece06b5306f50400693e838450f3b5ab6aaad9deddaefc4da1d6e81ed5b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Write safe behavior for three classroom risk levels.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</w:t>
      </w:r>
      <w:r>
        <w:rPr>
          <w:b/>
        </w:rPr>
        <w:t>boundary</w:t>
      </w:r>
      <w:r>
        <w:rPr>
          <w:b w:val="0"/>
        </w:rPr>
        <w:t xml:space="preserve">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Safety Boundaries case for supported practice. Repeated examples do not become fresh assessments.</w:t>
      </w:r>
    </w:p>
    <w:p>
      <w:pPr>
        <w:pStyle w:val="Heading3"/>
      </w:pPr>
      <w:r>
        <w:t>Week 31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Study Buddy is asked to decide whether a learner should take medicine.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Set a product </w:t>
      </w:r>
      <w:r>
        <w:rPr>
          <w:b/>
        </w:rPr>
        <w:t>boundary</w:t>
      </w:r>
      <w:r>
        <w:rPr>
          <w:b w:val="0"/>
        </w:rPr>
        <w:t>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A classroom study tool should not decide individual treatment. Redirect to a trusted adult or qualified clinician and stay within approved educational content.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Keep a study tool inside its role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Study explanation</w:t>
            </w:r>
          </w:p>
        </w:tc>
        <w:tc>
          <w:tcPr>
            <w:tcW w:type="dxa" w:w="5112"/>
          </w:tcPr>
          <w:p>
            <w:r>
              <w:t>Approved educational content</w:t>
            </w:r>
          </w:p>
        </w:tc>
      </w:tr>
      <w:tr>
        <w:tc>
          <w:tcPr>
            <w:tcW w:type="dxa" w:w="5112"/>
          </w:tcPr>
          <w:p>
            <w:r>
              <w:t>Individual treatment</w:t>
            </w:r>
          </w:p>
        </w:tc>
        <w:tc>
          <w:tcPr>
            <w:tcW w:type="dxa" w:w="5112"/>
          </w:tcPr>
          <w:p>
            <w:r>
              <w:t>Outside this product's role</w:t>
            </w:r>
          </w:p>
        </w:tc>
      </w:tr>
      <w:tr>
        <w:tc>
          <w:tcPr>
            <w:tcW w:type="dxa" w:w="5112"/>
          </w:tcPr>
          <w:p>
            <w:r>
              <w:t>Response</w:t>
            </w:r>
          </w:p>
        </w:tc>
        <w:tc>
          <w:tcPr>
            <w:tcW w:type="dxa" w:w="5112"/>
          </w:tcPr>
          <w:p>
            <w:r>
              <w:t>Direct to appropriate human help</w:t>
            </w:r>
          </w:p>
        </w:tc>
      </w:tr>
    </w:tbl>
    <w:p>
      <w:pPr>
        <w:spacing w:line="336" w:lineRule="auto" w:after="180"/>
      </w:pPr>
      <w:r>
        <w:rPr>
          <w:b w:val="0"/>
        </w:rPr>
        <w:t>A Study Buddy is asked to decide whether a learner should take medicine.</w:t>
      </w:r>
    </w:p>
    <w:p>
      <w:pPr>
        <w:spacing w:line="336" w:lineRule="auto" w:after="180"/>
      </w:pPr>
      <w:r>
        <w:rPr>
          <w:b w:val="0"/>
        </w:rPr>
        <w:t xml:space="preserve">Set a product </w:t>
      </w:r>
      <w:r>
        <w:rPr>
          <w:b/>
        </w:rPr>
        <w:t>boundary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classroom study tool should not decide individual treatment. Redirect to a trusted adult or qualified clinician and stay within approved educational content.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Classify B2, b2, B22 and B2; DROP under the exact format.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study tool is asked to make a high-stakes personal decision outside its learning purpose. What </w:t>
      </w:r>
      <w:r>
        <w:rPr>
          <w:b/>
        </w:rPr>
        <w:t>boundary</w:t>
      </w:r>
      <w:r>
        <w:rPr>
          <w:b w:val="0"/>
        </w:rPr>
        <w:t xml:space="preserve"> should the response show?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 xml:space="preserve">Change one relevant detail. Predict the result before testing. Include a </w:t>
      </w:r>
      <w:r>
        <w:rPr>
          <w:b/>
        </w:rPr>
        <w:t>boundary</w:t>
      </w:r>
      <w:r>
        <w:rPr>
          <w:b w:val="0"/>
        </w:rPr>
        <w:t xml:space="preserve">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Implement risk levels, </w:t>
      </w:r>
      <w:r>
        <w:rPr>
          <w:b/>
        </w:rPr>
        <w:t>refusal</w:t>
      </w:r>
      <w:r>
        <w:rPr>
          <w:b w:val="0"/>
        </w:rPr>
        <w:t xml:space="preserve"> language, safe alternatives, and teacher-review gates.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plant-study assistant is asked for a person's medication dose. Give an appropriate </w:t>
      </w:r>
      <w:r>
        <w:rPr>
          <w:b/>
        </w:rPr>
        <w:t>boundary</w:t>
      </w:r>
      <w:r>
        <w:rPr>
          <w:b w:val="0"/>
        </w:rPr>
        <w:t xml:space="preserve"> response and explain why a confident generated answer is unsuitable.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Safety Boundaries,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Make a strict lookup identifier </w:t>
      </w:r>
      <w:r>
        <w:rPr>
          <w:b/>
        </w:rPr>
        <w:t>boundary</w:t>
      </w:r>
      <w:r>
        <w:rPr>
          <w:b w:val="0"/>
        </w:rPr>
        <w:t xml:space="preserve"> visible.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untrusted input boundaries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Safety Boundaries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untrusted input</w:t>
      </w:r>
      <w:r>
        <w:rPr>
          <w:b w:val="0"/>
        </w:rPr>
        <w:t xml:space="preserve"> boundaries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Make a strict lookup identifier </w:t>
      </w:r>
      <w:r>
        <w:rPr>
          <w:b/>
        </w:rPr>
        <w:t>boundary</w:t>
      </w:r>
      <w:r>
        <w:rPr>
          <w:b w:val="0"/>
        </w:rPr>
        <w:t xml:space="preserve"> visible.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Pattern acceptance only allows the next lookup check; it grants no access to restricted records.</w:t>
      </w:r>
    </w:p>
    <w:p>
      <w:pPr>
        <w:spacing w:line="336" w:lineRule="auto" w:after="180"/>
        <w:shd w:fill="F4F9FC"/>
      </w:pPr>
      <w:r>
        <w:rPr>
          <w:b w:val="0"/>
        </w:rPr>
        <w:t>1. Separate authority</w:t>
      </w:r>
    </w:p>
    <w:p>
      <w:pPr>
        <w:spacing w:line="336" w:lineRule="auto" w:after="180"/>
        <w:shd w:fill="F4F9FC"/>
      </w:pPr>
      <w:r>
        <w:rPr>
          <w:b w:val="0"/>
        </w:rPr>
        <w:t>2. Check pattern</w:t>
      </w:r>
    </w:p>
    <w:p>
      <w:pPr>
        <w:spacing w:line="336" w:lineRule="auto" w:after="180"/>
        <w:shd w:fill="F4F9FC"/>
      </w:pPr>
      <w:r>
        <w:rPr>
          <w:b w:val="0"/>
        </w:rPr>
        <w:t>3. Reject extra text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Separate authority Pattern acceptance only allows the next lookup check; it grants no access to restricted records.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Pattern acceptance only allows the next lookup check; it grants no access to restricted records.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AB7 to Ab7.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Reject it under the exact uppercase rule.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Reject it under the exact uppercase rule. Lowercase b fails the declared pattern even though the identifier looks similar.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Bias and Representation (ai-3/30). Goal: Explain the </w:t>
      </w:r>
      <w:r>
        <w:rPr>
          <w:b/>
        </w:rPr>
        <w:t>mechanism</w:t>
      </w:r>
      <w:r>
        <w:rPr>
          <w:b w:val="0"/>
        </w:rPr>
        <w:t xml:space="preserve"> and terminology of representation and bias evaluation. Short practice: Explain why comparing six correct answers in each group would mislead.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Privacy by Design (ai-3/28).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Which IDs and locations must appear in the deletion </w:t>
      </w:r>
      <w:r>
        <w:rPr>
          <w:b/>
        </w:rPr>
        <w:t>evidence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Quality Rubrics (ai-3/25). Goal: Explain the </w:t>
      </w:r>
      <w:r>
        <w:rPr>
          <w:b/>
        </w:rPr>
        <w:t>mechanism</w:t>
      </w:r>
      <w:r>
        <w:rPr>
          <w:b w:val="0"/>
        </w:rPr>
        <w:t xml:space="preserve"> and terminology of system evaluation sets. Short practice: Why is “one out of two checks passed” an insufficient release decision?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Safety Boundaries graphic using its labels, deciding evidence and relevant limitation.</w:t>
      </w:r>
    </w:p>
    <w:p>
      <w:pPr>
        <w:pStyle w:val="Heading3"/>
      </w:pPr>
      <w:r>
        <w:t>01. Safety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Make a strict lookup identifier boundary visible. Supplied facts: Toy lookup accepts exactly two uppercase ASCII letters followed by one digit. Accepted example: AB7. No trimming or extra characters are allow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Make a strict lookup identifier </w:t>
      </w:r>
      <w:r>
        <w:rPr>
          <w:b/>
        </w:rPr>
        <w:t>boundary</w:t>
      </w:r>
      <w:r>
        <w:rPr>
          <w:b w:val="0"/>
        </w:rPr>
        <w:t xml:space="preserve"> visible. Supplied facts: Toy lookup accepts exactly two uppercase ASCII letters followed by one digit. Accepted example: AB7. No trimming or extra characters are allowed.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23" name="Picture 23" descr="Check pattern: AB7 has two permitted letters and one digit, with no extra characters. → Reject extra text: AB7; send() violates the exact identifier pattern. →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pattern: AB7 has two permitted letters and one digit, with no extra characters. → Reject extra text: AB7; send() violates the exact identifier pattern. → Separate authority: Pattern acceptance only allows the next lookup check; it grants no access to restricted records.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Untrusted input boundaries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24" name="Picture 24" descr="Untrusted input boundaries — evidence trace. Inputs A1 and delete_all() are supplied to room lookup. | For the toy lookup accept room IDs matching one uppercase letter plus one digit. Perform exact dictionary lookup; never evaluate user strings as code. Reject invalid length or characters. | A1 passes the format; delete_all() fails. Neither is executed as code, including any instruction-shaped st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Untrusted input</w:t>
      </w:r>
      <w:r>
        <w:rPr>
          <w:b w:val="0"/>
        </w:rPr>
        <w:t xml:space="preserve"> boundaries — </w:t>
      </w:r>
      <w:r>
        <w:rPr>
          <w:b/>
        </w:rPr>
        <w:t>evidence</w:t>
      </w:r>
      <w:r>
        <w:rPr>
          <w:b w:val="0"/>
        </w:rPr>
        <w:t xml:space="preserve"> trace. </w:t>
      </w:r>
      <w:r>
        <w:rPr>
          <w:b/>
        </w:rPr>
        <w:t>Input</w:t>
      </w:r>
      <w:r>
        <w:rPr>
          <w:b w:val="0"/>
        </w:rPr>
        <w:t>s A1 and delete_all() are supplied to room lookup. | For the toy lookup accept room IDs matching one uppercase letter plus one digit.</w:t>
      </w:r>
    </w:p>
    <w:p>
      <w:pPr>
        <w:spacing w:line="336" w:lineRule="auto" w:after="180"/>
      </w:pPr>
      <w:r>
        <w:rPr>
          <w:b w:val="0"/>
        </w:rPr>
        <w:t>Perform exact dictionary lookup; never evaluate user strings as code. Reject invalid length or characters. | A1 passes the format; delete_all() fails. Neither is executed as code, including any instruction-shaped string.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25" name="Picture 25" descr="Original case: Pattern acceptance only allows the next lookup check; it grants no access to restricted records. Changed condition: Change AB7 to Ab7. Expected result: Reject it under the exact uppercase rule. Reason: Lowercase b fails the declared pattern even though the identifier looks simila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Pattern acceptance only allows the next lookup check; it grants no access to restricted records. Changed condition: Change AB7 to Ab7. Expected result: Reject it under the exact uppercase rule.</w:t>
      </w:r>
    </w:p>
    <w:p>
      <w:pPr>
        <w:spacing w:line="336" w:lineRule="auto" w:after="180"/>
      </w:pPr>
      <w:r>
        <w:rPr>
          <w:b w:val="0"/>
        </w:rPr>
        <w:t>Reason: Lowercase b fails the declared pattern even though the identifier looks similar.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Pattern acceptance only allows the next lookup check; it grants no access to restricted records. The arrows show which recorded input or intermediate result each decision uses. Explain the deciding step aloud before checking the changed case; pointing to the final answer alone does not show how it follows. Limit: Strict formatting is one boundary; it does not solve every injection or authorisation probl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Pattern acceptance only allows the next lookup check; it grants no access to restricted records.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Strict formatting is one </w:t>
      </w:r>
      <w:r>
        <w:rPr>
          <w:b/>
        </w:rPr>
        <w:t>boundary</w:t>
      </w:r>
      <w:r>
        <w:rPr>
          <w:b w:val="0"/>
        </w:rPr>
        <w:t>; it does not solve every injection or authorisation problem.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If AB7 passes the pattern, may it access teacher-only material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If AB7 passes the pattern, may it access teacher-only material?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