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ai-4/31</w:t>
      </w:r>
    </w:p>
    <w:p>
      <w:pPr>
        <w:pStyle w:val="Title"/>
      </w:pPr>
      <w:r>
        <w:t>Subgroup Performance</w:t>
      </w:r>
    </w:p>
    <w:p>
      <w:r>
        <w:t>Project: Responsible Plant Classifier</w:t>
      </w:r>
    </w:p>
    <w:p>
      <w:pPr>
        <w:pStyle w:val="Heading1"/>
      </w:pPr>
      <w:r>
        <w:t>Before you start</w:t>
      </w:r>
    </w:p>
    <w:p>
      <w:r>
        <w:t>AI-2 Week 34: calculate subgroup rates before combining them.</w:t>
      </w:r>
    </w:p>
    <w:p>
      <w:pPr>
        <w:pStyle w:val="Heading1"/>
      </w:pPr>
      <w:r>
        <w:t>01. Your mission</w:t>
      </w:r>
    </w:p>
    <w:p>
      <w:r>
        <w:t>Start with the target: Calculate subgroup results with sample sizes. Try the recall before opening notes.</w:t>
      </w:r>
    </w:p>
    <w:p>
      <w:pPr>
        <w:pStyle w:val="Heading3"/>
      </w:pPr>
      <w:r>
        <w:t>Your learning target</w:t>
      </w:r>
    </w:p>
    <w:p>
      <w:pPr>
        <w:spacing w:line="336" w:lineRule="auto" w:after="180"/>
      </w:pPr>
      <w:r>
        <w:rPr>
          <w:b w:val="0"/>
        </w:rPr>
        <w:t xml:space="preserve">I can calculate </w:t>
      </w:r>
      <w:r>
        <w:rPr>
          <w:b/>
        </w:rPr>
        <w:t>subgroup</w:t>
      </w:r>
      <w:r>
        <w:rPr>
          <w:b w:val="0"/>
        </w:rPr>
        <w:t xml:space="preserve"> results with sample sizes.</w:t>
      </w:r>
    </w:p>
    <w:p>
      <w:pPr>
        <w:spacing w:line="336" w:lineRule="auto" w:after="180"/>
      </w:pPr>
      <w:r>
        <w:rPr>
          <w:b w:val="0"/>
        </w:rPr>
        <w:t xml:space="preserve">I can distinguish missing </w:t>
      </w:r>
      <w:r>
        <w:rPr>
          <w:b/>
        </w:rPr>
        <w:t>evidence</w:t>
      </w:r>
      <w:r>
        <w:rPr>
          <w:b w:val="0"/>
        </w:rPr>
        <w:t xml:space="preserve"> from equal performance.</w:t>
      </w:r>
    </w:p>
    <w:p>
      <w:pPr>
        <w:spacing w:line="336" w:lineRule="auto" w:after="180"/>
      </w:pPr>
      <w:r>
        <w:rPr>
          <w:b w:val="0"/>
        </w:rPr>
        <w:t>I can report differences without assigning causes from a table.</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Improve Generalization. Give an example and a mistake that the idea helps you avoid.</w:t>
      </w:r>
    </w:p>
    <w:p>
      <w:pPr>
        <w:spacing w:line="336" w:lineRule="auto" w:after="180"/>
      </w:pPr>
      <w:r>
        <w:rPr>
          <w:b w:val="0"/>
        </w:rPr>
        <w:t>Without opening the old lesson, explain one key idea from Learning Curves. Give an example and a mistake that the idea helps you avoid.</w:t>
      </w:r>
    </w:p>
    <w:p>
      <w:pPr>
        <w:spacing w:line="336" w:lineRule="auto" w:after="180"/>
      </w:pPr>
      <w:r>
        <w:rPr>
          <w:b w:val="0"/>
        </w:rPr>
        <w:t>Without opening the old lesson, explain one key idea from Metrics Match Consequences.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Overall metrics can conceal uneven behavior across meaningful conditions or user groups.</w:t>
      </w:r>
    </w:p>
    <w:p>
      <w:r>
        <w:drawing>
          <wp:inline xmlns:a="http://schemas.openxmlformats.org/drawingml/2006/main" xmlns:pic="http://schemas.openxmlformats.org/drawingml/2006/picture">
            <wp:extent cx="2942705" cy="2942705"/>
            <wp:docPr id="1" name="Picture 1" descr="AI-4 Week 31 illustration: Subgroup Performance"/>
            <wp:cNvGraphicFramePr>
              <a:graphicFrameLocks noChangeAspect="1"/>
            </wp:cNvGraphicFramePr>
            <a:graphic>
              <a:graphicData uri="http://schemas.openxmlformats.org/drawingml/2006/picture">
                <pic:pic>
                  <pic:nvPicPr>
                    <pic:cNvPr id="0" name="4ac82067209e11420126b604447173e5d94086a4fd131bf14bad8a9e5380274b.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Device A gets 18/20 correct; B gets 6/10. Compute overall accuracy and the </w:t>
      </w:r>
      <w:r>
        <w:rPr>
          <w:b/>
        </w:rPr>
        <w:t>subgroup</w:t>
      </w:r>
      <w:r>
        <w:rPr>
          <w:b w:val="0"/>
        </w:rPr>
        <w:t xml:space="preserve"> gap. What causal claim is not supported?</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What can a pooled error rate hide?</w:t>
      </w:r>
    </w:p>
    <w:p>
      <w:pPr>
        <w:pStyle w:val="Heading3"/>
      </w:pPr>
      <w:r>
        <w:t>This week’s end goal</w:t>
      </w:r>
    </w:p>
    <w:p>
      <w:pPr>
        <w:spacing w:line="336" w:lineRule="auto" w:after="180"/>
      </w:pPr>
      <w:r>
        <w:rPr>
          <w:b w:val="0"/>
        </w:rPr>
        <w:t xml:space="preserve">By the end, I can explain </w:t>
      </w:r>
      <w:r>
        <w:rPr>
          <w:b/>
        </w:rPr>
        <w:t>subgroup</w:t>
      </w:r>
      <w:r>
        <w:rPr>
          <w:b w:val="0"/>
        </w:rPr>
        <w:t xml:space="preserve"> performance using a traced example and a stated limitation.</w:t>
      </w:r>
    </w:p>
    <w:p>
      <w:pPr>
        <w:pStyle w:val="Heading1"/>
      </w:pPr>
      <w:r>
        <w:t>02. Notice the evidence</w:t>
      </w:r>
    </w:p>
    <w:p>
      <w:r>
        <w:t>Investigate the supplied Subgroup Performance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31 illustration: Subgroup Performance"/>
            <wp:cNvGraphicFramePr>
              <a:graphicFrameLocks noChangeAspect="1"/>
            </wp:cNvGraphicFramePr>
            <a:graphic>
              <a:graphicData uri="http://schemas.openxmlformats.org/drawingml/2006/picture">
                <pic:pic>
                  <pic:nvPicPr>
                    <pic:cNvPr id="0" name="4ac82067209e11420126b604447173e5d94086a4fd131bf14bad8a9e5380274b.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w:t>
      </w:r>
      <w:r>
        <w:rPr>
          <w:b/>
        </w:rPr>
        <w:t>subgroup</w:t>
      </w:r>
      <w:r>
        <w:rPr>
          <w:b w:val="0"/>
        </w:rPr>
        <w:t xml:space="preserve"> performance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A single overall score can hide different experiences. Define relevant groups before evaluation and report counts as well as rates. This classroom exercise uses fictional sensor conditions, not personal identities.</w:t>
      </w:r>
    </w:p>
    <w:p>
      <w:pPr>
        <w:spacing w:line="336" w:lineRule="auto" w:after="180"/>
      </w:pPr>
      <w:r>
        <w:rPr>
          <w:b w:val="0"/>
        </w:rPr>
        <w:t>Real evaluations involving people require appropriate permissions, privacy and contextual expertise.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subgroup</w:t>
      </w:r>
      <w:r>
        <w:rPr>
          <w:b w:val="0"/>
        </w:rPr>
        <w:t xml:space="preserve"> evaluation.</w:t>
      </w:r>
    </w:p>
    <w:p>
      <w:pPr>
        <w:pStyle w:val="Heading1"/>
      </w:pPr>
      <w:r>
        <w:t>03. See how it works</w:t>
      </w:r>
    </w:p>
    <w:p>
      <w:r>
        <w:t>Follow the mechanism for Subgroup Performance.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31 machine-learning flow stage 1"/>
            <wp:cNvGraphicFramePr>
              <a:graphicFrameLocks noChangeAspect="1"/>
            </wp:cNvGraphicFramePr>
            <a:graphic>
              <a:graphicData uri="http://schemas.openxmlformats.org/drawingml/2006/picture">
                <pic:pic>
                  <pic:nvPicPr>
                    <pic:cNvPr id="0" name="7c829a263923b5561c1d9fccd149986e5dda035b2729c5657d63f85ac78dc3ce.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31 machine-learning flow stage 2"/>
            <wp:cNvGraphicFramePr>
              <a:graphicFrameLocks noChangeAspect="1"/>
            </wp:cNvGraphicFramePr>
            <a:graphic>
              <a:graphicData uri="http://schemas.openxmlformats.org/drawingml/2006/picture">
                <pic:pic>
                  <pic:nvPicPr>
                    <pic:cNvPr id="0" name="cdc314f70d1777433cc57f5448b7d340bc273dc9cd21d248b450a4ee2165c005.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31 machine-learning flow stage 3"/>
            <wp:cNvGraphicFramePr>
              <a:graphicFrameLocks noChangeAspect="1"/>
            </wp:cNvGraphicFramePr>
            <a:graphic>
              <a:graphicData uri="http://schemas.openxmlformats.org/drawingml/2006/picture">
                <pic:pic>
                  <pic:nvPicPr>
                    <pic:cNvPr id="0" name="2178b9ee59634f4c1b52f86c9e5451b782c21942a2ed8dbc358d18a77584fcc3.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Calculate </w:t>
      </w:r>
      <w:r>
        <w:rPr>
          <w:b/>
        </w:rPr>
        <w:t>subgroup</w:t>
      </w:r>
      <w:r>
        <w:rPr>
          <w:b w:val="0"/>
        </w:rPr>
        <w:t xml:space="preserve"> accuracy and recall gaps with adequate </w:t>
      </w:r>
      <w:r>
        <w:rPr>
          <w:b/>
        </w:rPr>
        <w:t>denominator</w:t>
      </w:r>
      <w:r>
        <w:rPr>
          <w:b w:val="0"/>
        </w:rPr>
        <w:t>s.</w:t>
      </w:r>
    </w:p>
    <w:p>
      <w:pPr>
        <w:spacing w:line="336" w:lineRule="auto" w:after="180"/>
      </w:pPr>
      <w:r>
        <w:rPr>
          <w:b w:val="0"/>
        </w:rPr>
        <w:t>MODEL IDEA  Overall metrics can conceal uneven behavior across meaningful conditions or user groups.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Daylight: 18/20 correct = 90%; evening: 10/20 = 50%. Accuracy gap = 90% − 50% = 40 percentage points.</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val="0"/>
        </w:rPr>
        <w:t>Sensor group A has 2 errors in 20 examples and group B has 3 in 5. Error rates are 10 and 60 percent; pooled error is 5/25=20 percent. The group difference is 50 percentage points.</w:t>
      </w:r>
    </w:p>
    <w:p>
      <w:pPr>
        <w:spacing w:line="336" w:lineRule="auto" w:after="180"/>
      </w:pPr>
      <w:r>
        <w:rPr>
          <w:b w:val="0"/>
        </w:rPr>
        <w:t>B has only five examples, so its rate is sensitive to each individual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Subgroup Performance.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31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31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31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31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 xml:space="preserve">SHIFTED  New lighting, species, device, </w:t>
      </w:r>
      <w:r>
        <w:rPr>
          <w:b/>
        </w:rPr>
        <w:t>subgroup</w:t>
      </w:r>
      <w:r>
        <w:rPr>
          <w:b w:val="0"/>
        </w:rPr>
        <w:t>,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Shade gains5 new cases with no errors.</w:t>
      </w:r>
    </w:p>
    <w:p>
      <w:pPr>
        <w:pStyle w:val="Heading3"/>
      </w:pPr>
      <w:r>
        <w:t>Predicted result</w:t>
      </w:r>
    </w:p>
    <w:p>
      <w:pPr>
        <w:spacing w:line="336" w:lineRule="auto" w:after="180"/>
        <w:shd w:fill="F1F6FC"/>
      </w:pPr>
      <w:r>
        <w:rPr>
          <w:b/>
        </w:rPr>
        <w:t>Prediction</w:t>
      </w:r>
      <w:r>
        <w:rPr>
          <w:b w:val="0"/>
        </w:rPr>
        <w:t>: Shade error becomes3/10=30%; pooled error becomes5/30≈16.7%.</w:t>
      </w:r>
    </w:p>
    <w:p>
      <w:pPr>
        <w:pStyle w:val="Heading3"/>
      </w:pPr>
      <w:r>
        <w:t>Why the result follows</w:t>
      </w:r>
    </w:p>
    <w:p>
      <w:pPr>
        <w:spacing w:line="336" w:lineRule="auto" w:after="180"/>
        <w:shd w:fill="F1F6FC"/>
      </w:pPr>
      <w:r>
        <w:rPr>
          <w:b w:val="0"/>
        </w:rPr>
        <w:t xml:space="preserve">Reason: Extra evaluated cases change </w:t>
      </w:r>
      <w:r>
        <w:rPr>
          <w:b/>
        </w:rPr>
        <w:t>denominator</w:t>
      </w:r>
      <w:r>
        <w:rPr>
          <w:b w:val="0"/>
        </w:rPr>
        <w:t>s; existing errors have not disappeared.</w:t>
      </w:r>
    </w:p>
    <w:p>
      <w:pPr>
        <w:pStyle w:val="Heading1"/>
      </w:pPr>
      <w:r>
        <w:t>05. Words that unlock the idea</w:t>
      </w:r>
    </w:p>
    <w:p>
      <w:r>
        <w:t>Use the vocabulary of Subgroup Performance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subgroup, meaningful slice of evaluation cases"/>
            <wp:cNvGraphicFramePr>
              <a:graphicFrameLocks noChangeAspect="1"/>
            </wp:cNvGraphicFramePr>
            <a:graphic>
              <a:graphicData uri="http://schemas.openxmlformats.org/drawingml/2006/picture">
                <pic:pic>
                  <pic:nvPicPr>
                    <pic:cNvPr id="0" name="0c0c24bc5acb58c992843bab96d87aec83ae25fc72e8b63907393f332b115215.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performance gap, difference between subgroup metrics"/>
            <wp:cNvGraphicFramePr>
              <a:graphicFrameLocks noChangeAspect="1"/>
            </wp:cNvGraphicFramePr>
            <a:graphic>
              <a:graphicData uri="http://schemas.openxmlformats.org/drawingml/2006/picture">
                <pic:pic>
                  <pic:nvPicPr>
                    <pic:cNvPr id="0" name="a0c9560953371aba2dd22263d6c0b8a092d3a80f4ccac5c0ee74c3853cd87331.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denominator, number of cases behind a rate"/>
            <wp:cNvGraphicFramePr>
              <a:graphicFrameLocks noChangeAspect="1"/>
            </wp:cNvGraphicFramePr>
            <a:graphic>
              <a:graphicData uri="http://schemas.openxmlformats.org/drawingml/2006/picture">
                <pic:pic>
                  <pic:nvPicPr>
                    <pic:cNvPr id="0" name="a984ba31b656ee431b42fccaaf2c4b643f3001a1561c9023801233c1a5b04d66.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intersection, cases belonging to multiple slices"/>
            <wp:cNvGraphicFramePr>
              <a:graphicFrameLocks noChangeAspect="1"/>
            </wp:cNvGraphicFramePr>
            <a:graphic>
              <a:graphicData uri="http://schemas.openxmlformats.org/drawingml/2006/picture">
                <pic:pic>
                  <pic:nvPicPr>
                    <pic:cNvPr id="0" name="3609816298932c747e544ae17f40412a5378f83a62f595962464ad17881d4c08.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subgroup</w:t>
            </w:r>
          </w:p>
        </w:tc>
        <w:tc>
          <w:tcPr>
            <w:tcW w:type="dxa" w:w="3408"/>
          </w:tcPr>
          <w:p>
            <w:r>
              <w:t>meaningful slice of evaluation cases</w:t>
            </w:r>
          </w:p>
        </w:tc>
        <w:tc>
          <w:tcPr>
            <w:tcW w:type="dxa" w:w="3408"/>
          </w:tcPr>
          <w:p>
            <w:r/>
          </w:p>
        </w:tc>
      </w:tr>
      <w:tr>
        <w:tc>
          <w:tcPr>
            <w:tcW w:type="dxa" w:w="3408"/>
          </w:tcPr>
          <w:p>
            <w:r>
              <w:t>performance gap</w:t>
            </w:r>
          </w:p>
        </w:tc>
        <w:tc>
          <w:tcPr>
            <w:tcW w:type="dxa" w:w="3408"/>
          </w:tcPr>
          <w:p>
            <w:r>
              <w:t>difference between subgroup metrics</w:t>
            </w:r>
          </w:p>
        </w:tc>
        <w:tc>
          <w:tcPr>
            <w:tcW w:type="dxa" w:w="3408"/>
          </w:tcPr>
          <w:p>
            <w:r/>
          </w:p>
        </w:tc>
      </w:tr>
      <w:tr>
        <w:tc>
          <w:tcPr>
            <w:tcW w:type="dxa" w:w="3408"/>
          </w:tcPr>
          <w:p>
            <w:r>
              <w:t>denominator</w:t>
            </w:r>
          </w:p>
        </w:tc>
        <w:tc>
          <w:tcPr>
            <w:tcW w:type="dxa" w:w="3408"/>
          </w:tcPr>
          <w:p>
            <w:r>
              <w:t>number of cases behind a rate</w:t>
            </w:r>
          </w:p>
        </w:tc>
        <w:tc>
          <w:tcPr>
            <w:tcW w:type="dxa" w:w="3408"/>
          </w:tcPr>
          <w:p>
            <w:r/>
          </w:p>
        </w:tc>
      </w:tr>
      <w:tr>
        <w:tc>
          <w:tcPr>
            <w:tcW w:type="dxa" w:w="3408"/>
          </w:tcPr>
          <w:p>
            <w:r>
              <w:t>intersection</w:t>
            </w:r>
          </w:p>
        </w:tc>
        <w:tc>
          <w:tcPr>
            <w:tcW w:type="dxa" w:w="3408"/>
          </w:tcPr>
          <w:p>
            <w:r>
              <w:t>cases belonging to multiple slices</w:t>
            </w:r>
          </w:p>
        </w:tc>
        <w:tc>
          <w:tcPr>
            <w:tcW w:type="dxa" w:w="3408"/>
          </w:tcPr>
          <w:p>
            <w:r/>
          </w:p>
        </w:tc>
      </w:tr>
    </w:tbl>
    <w:p>
      <w:pPr>
        <w:spacing w:line="336" w:lineRule="auto" w:after="180"/>
        <w:shd w:fill="FFF5E6"/>
      </w:pPr>
      <w:r>
        <w:rPr>
          <w:b w:val="0"/>
        </w:rPr>
        <w:t xml:space="preserve">MISCONCEPTION TO REPAIR  A good overall result guarantees acceptable performance for every </w:t>
      </w:r>
      <w:r>
        <w:rPr>
          <w:b/>
        </w:rPr>
        <w:t>subgroup</w:t>
      </w:r>
      <w:r>
        <w:rPr>
          <w:b w:val="0"/>
        </w:rPr>
        <w:t>.</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Subgroup</w:t>
            </w:r>
          </w:p>
        </w:tc>
        <w:tc>
          <w:tcPr>
            <w:tcW w:type="dxa" w:w="5112"/>
          </w:tcPr>
          <w:p>
            <w:r>
              <w:t>A defined subset of the evaluated examples</w:t>
            </w:r>
          </w:p>
        </w:tc>
      </w:tr>
      <w:tr>
        <w:tc>
          <w:tcPr>
            <w:tcW w:type="dxa" w:w="5112"/>
          </w:tcPr>
          <w:p>
            <w:r>
              <w:t>Disaggregation</w:t>
            </w:r>
          </w:p>
        </w:tc>
        <w:tc>
          <w:tcPr>
            <w:tcW w:type="dxa" w:w="5112"/>
          </w:tcPr>
          <w:p>
            <w:r>
              <w:t>Reporting results separately for defined groups</w:t>
            </w:r>
          </w:p>
        </w:tc>
      </w:tr>
      <w:tr>
        <w:tc>
          <w:tcPr>
            <w:tcW w:type="dxa" w:w="5112"/>
          </w:tcPr>
          <w:p>
            <w:r>
              <w:t>Coverage</w:t>
            </w:r>
          </w:p>
        </w:tc>
        <w:tc>
          <w:tcPr>
            <w:tcW w:type="dxa" w:w="5112"/>
          </w:tcPr>
          <w:p>
            <w:r>
              <w:t>Which groups and conditions are represented</w:t>
            </w:r>
          </w:p>
        </w:tc>
      </w:tr>
      <w:tr>
        <w:tc>
          <w:tcPr>
            <w:tcW w:type="dxa" w:w="5112"/>
          </w:tcPr>
          <w:p>
            <w:r>
              <w:t>Disparity</w:t>
            </w:r>
          </w:p>
        </w:tc>
        <w:tc>
          <w:tcPr>
            <w:tcW w:type="dxa" w:w="5112"/>
          </w:tcPr>
          <w:p>
            <w:r>
              <w:t>An observed difference between group results</w:t>
            </w:r>
          </w:p>
        </w:tc>
      </w:tr>
    </w:tbl>
    <w:p>
      <w:pPr>
        <w:pStyle w:val="Heading1"/>
      </w:pPr>
      <w:r>
        <w:t>06. Follow a worked example</w:t>
      </w:r>
    </w:p>
    <w:p>
      <w:r>
        <w:t>Follow the worked trace for Subgroup Performance,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31: Subgroup Performance"/>
            <wp:cNvGraphicFramePr>
              <a:graphicFrameLocks noChangeAspect="1"/>
            </wp:cNvGraphicFramePr>
            <a:graphic>
              <a:graphicData uri="http://schemas.openxmlformats.org/drawingml/2006/picture">
                <pic:pic>
                  <pic:nvPicPr>
                    <pic:cNvPr id="0" name="54b009bbc60a69eaf11eb2efb7c5f990271697b4f1ccd9435e01ef5d23ec11ef.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STEP 1  Daylight: 18/20 correct = 90%; evening: 10/20 = 50%.</w:t>
      </w:r>
    </w:p>
    <w:p>
      <w:pPr>
        <w:pStyle w:val="Heading3"/>
      </w:pPr>
      <w:r>
        <w:t>Step 2</w:t>
      </w:r>
    </w:p>
    <w:p>
      <w:pPr>
        <w:spacing w:line="336" w:lineRule="auto" w:after="180"/>
        <w:shd w:fill="F4F9FC"/>
      </w:pPr>
      <w:r>
        <w:rPr>
          <w:b w:val="0"/>
        </w:rPr>
        <w:t>STEP 2  Accuracy gap = 90% − 50% = 40 percentage points.</w:t>
      </w:r>
    </w:p>
    <w:p>
      <w:pPr>
        <w:pStyle w:val="Heading3"/>
      </w:pPr>
      <w:r>
        <w:t>Step 3</w:t>
      </w:r>
    </w:p>
    <w:p>
      <w:pPr>
        <w:spacing w:line="336" w:lineRule="auto" w:after="180"/>
        <w:shd w:fill="F4F9FC"/>
      </w:pPr>
      <w:r>
        <w:rPr>
          <w:b w:val="0"/>
        </w:rPr>
        <w:t xml:space="preserve">STEP 3  Evening spotted recall is 4/10 = 40%, versus daylight 8/10 = </w:t>
      </w:r>
      <w:r>
        <w:rPr>
          <w:b/>
        </w:rPr>
        <w:t>80%</w:t>
      </w:r>
      <w:r>
        <w:rPr>
          <w:b w:val="0"/>
        </w:rPr>
        <w:t>.</w:t>
      </w:r>
    </w:p>
    <w:p>
      <w:pPr>
        <w:pStyle w:val="Heading3"/>
      </w:pPr>
      <w:r>
        <w:t>Step 4</w:t>
      </w:r>
    </w:p>
    <w:p>
      <w:pPr>
        <w:spacing w:line="336" w:lineRule="auto" w:after="180"/>
        <w:shd w:fill="F4F9FC"/>
      </w:pPr>
      <w:r>
        <w:rPr>
          <w:b w:val="0"/>
        </w:rPr>
        <w:t>STEP 4  Inspect representation and image quality; report counts and uncertainty before repairing.</w:t>
      </w:r>
    </w:p>
    <w:p>
      <w:pPr>
        <w:spacing w:line="336" w:lineRule="auto" w:after="180"/>
        <w:shd w:fill="EDF7F3"/>
      </w:pPr>
      <w:r>
        <w:rPr>
          <w:b w:val="0"/>
        </w:rPr>
        <w:t xml:space="preserve">CHECK  Verify the </w:t>
      </w:r>
      <w:r>
        <w:rPr>
          <w:b/>
        </w:rPr>
        <w:t>denominator</w:t>
      </w:r>
      <w:r>
        <w:rPr>
          <w:b w:val="0"/>
        </w:rPr>
        <w:t>,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Subgroup evaluation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Group A</w:t>
            </w:r>
          </w:p>
        </w:tc>
        <w:tc>
          <w:tcPr>
            <w:tcW w:type="dxa" w:w="3408"/>
          </w:tcPr>
          <w:p>
            <w:r>
              <w:t>2 errors of 20</w:t>
            </w:r>
          </w:p>
        </w:tc>
        <w:tc>
          <w:tcPr>
            <w:tcW w:type="dxa" w:w="3408"/>
          </w:tcPr>
          <w:p>
            <w:r>
              <w:t>10 percent</w:t>
            </w:r>
          </w:p>
        </w:tc>
      </w:tr>
      <w:tr>
        <w:tc>
          <w:tcPr>
            <w:tcW w:type="dxa" w:w="3408"/>
          </w:tcPr>
          <w:p>
            <w:r>
              <w:t>Group B</w:t>
            </w:r>
          </w:p>
        </w:tc>
        <w:tc>
          <w:tcPr>
            <w:tcW w:type="dxa" w:w="3408"/>
          </w:tcPr>
          <w:p>
            <w:r>
              <w:t>3 errors of 5</w:t>
            </w:r>
          </w:p>
        </w:tc>
        <w:tc>
          <w:tcPr>
            <w:tcW w:type="dxa" w:w="3408"/>
          </w:tcPr>
          <w:p>
            <w:r>
              <w:t>60 percent</w:t>
            </w:r>
          </w:p>
        </w:tc>
      </w:tr>
      <w:tr>
        <w:tc>
          <w:tcPr>
            <w:tcW w:type="dxa" w:w="3408"/>
          </w:tcPr>
          <w:p>
            <w:r>
              <w:t>Pooled</w:t>
            </w:r>
          </w:p>
        </w:tc>
        <w:tc>
          <w:tcPr>
            <w:tcW w:type="dxa" w:w="3408"/>
          </w:tcPr>
          <w:p>
            <w:r>
              <w:t>5 errors of 25</w:t>
            </w:r>
          </w:p>
        </w:tc>
        <w:tc>
          <w:tcPr>
            <w:tcW w:type="dxa" w:w="3408"/>
          </w:tcPr>
          <w:p>
            <w:r>
              <w:t>20 percent</w:t>
            </w:r>
          </w:p>
        </w:tc>
      </w:tr>
    </w:tbl>
    <w:p>
      <w:r>
        <w:t>Changing one B error to a correct result changes its rate from 60 to 40 percent. Small samples can be unstable without making the observed errors unimportant. A missing group has no measured rate, not zero error. Intersections of conditions may be even smaller.</w:t>
      </w:r>
    </w:p>
    <w:p>
      <w:pPr>
        <w:pStyle w:val="Heading3"/>
      </w:pPr>
      <w:r>
        <w:t>How does correcting one B error affect its rate?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Subgroup Performance</w:t>
      </w:r>
    </w:p>
    <w:p>
      <w:pPr>
        <w:spacing w:line="336" w:lineRule="auto" w:after="180"/>
      </w:pPr>
      <w:r>
        <w:rPr>
          <w:b w:val="0"/>
        </w:rPr>
        <w:t xml:space="preserve">Calculate </w:t>
      </w:r>
      <w:r>
        <w:rPr>
          <w:b/>
        </w:rPr>
        <w:t>subgroup</w:t>
      </w:r>
      <w:r>
        <w:rPr>
          <w:b w:val="0"/>
        </w:rPr>
        <w:t xml:space="preserve"> and pooled error rates without letting the larger group hide a gap.</w:t>
      </w:r>
    </w:p>
    <w:p>
      <w:pPr>
        <w:pStyle w:val="Heading3"/>
      </w:pPr>
      <w:r>
        <w:t>The facts we will use</w:t>
      </w:r>
    </w:p>
    <w:p>
      <w:pPr>
        <w:pStyle w:val="Heading3"/>
      </w:pPr>
      <w:r>
        <w:t>Supplied facts</w:t>
      </w:r>
    </w:p>
    <w:p>
      <w:pPr>
        <w:spacing w:line="336" w:lineRule="auto" w:after="180"/>
        <w:shd w:fill="F1F6FC"/>
      </w:pPr>
      <w:r>
        <w:rPr>
          <w:b w:val="0"/>
        </w:rPr>
        <w:t>Group Sun: 2 errors in20 photos; Shade: 3 errors in5. Same error definition; related plant views are documented.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131457"/>
            <wp:docPr id="15" name="Picture 15" descr="Subgroup error rates"/>
            <wp:cNvGraphicFramePr>
              <a:graphicFrameLocks noChangeAspect="1"/>
            </wp:cNvGraphicFramePr>
            <a:graphic>
              <a:graphicData uri="http://schemas.openxmlformats.org/drawingml/2006/picture">
                <pic:pic>
                  <pic:nvPicPr>
                    <pic:cNvPr id="0" name="academy-detail-ai-4-31.png"/>
                    <pic:cNvPicPr/>
                  </pic:nvPicPr>
                  <pic:blipFill>
                    <a:blip r:embed="rId22"/>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486400" cy="5185229"/>
            <wp:docPr id="16" name="Picture 16" descr="Subgroup Performance. Sun rate: Sun error=2/20=10%.. Shade rate: Shade error=3/5=60%.. Pooled rate: Total error=5/25=20%, which hides the 50-percentage-point subgroup difference."/>
            <wp:cNvGraphicFramePr>
              <a:graphicFrameLocks noChangeAspect="1"/>
            </wp:cNvGraphicFramePr>
            <a:graphic>
              <a:graphicData uri="http://schemas.openxmlformats.org/drawingml/2006/picture">
                <pic:pic>
                  <pic:nvPicPr>
                    <pic:cNvPr id="0" name="academy-visual-ai-4-31.png"/>
                    <pic:cNvPicPr/>
                  </pic:nvPicPr>
                  <pic:blipFill>
                    <a:blip r:embed="rId23"/>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Sun rate</w:t>
            </w:r>
          </w:p>
        </w:tc>
        <w:tc>
          <w:tcPr>
            <w:tcW w:type="dxa" w:w="5112"/>
          </w:tcPr>
          <w:p>
            <w:r>
              <w:t>Sun error=2/20=10%.</w:t>
            </w:r>
          </w:p>
        </w:tc>
      </w:tr>
      <w:tr>
        <w:tc>
          <w:tcPr>
            <w:tcW w:type="dxa" w:w="5112"/>
          </w:tcPr>
          <w:p>
            <w:r>
              <w:t>2. Shade rate</w:t>
            </w:r>
          </w:p>
        </w:tc>
        <w:tc>
          <w:tcPr>
            <w:tcW w:type="dxa" w:w="5112"/>
          </w:tcPr>
          <w:p>
            <w:r>
              <w:t>Shade error=3/5=60%.</w:t>
            </w:r>
          </w:p>
        </w:tc>
      </w:tr>
      <w:tr>
        <w:tc>
          <w:tcPr>
            <w:tcW w:type="dxa" w:w="5112"/>
          </w:tcPr>
          <w:p>
            <w:r>
              <w:t>3. Pooled rate</w:t>
            </w:r>
          </w:p>
        </w:tc>
        <w:tc>
          <w:tcPr>
            <w:tcW w:type="dxa" w:w="5112"/>
          </w:tcPr>
          <w:p>
            <w:r>
              <w:t>Total error=5/25=20%, which hides the 50-percentage-point subgroup difference.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Total error=5/25=20%, which hides the 50-percentage-point </w:t>
      </w:r>
      <w:r>
        <w:rPr>
          <w:b/>
        </w:rPr>
        <w:t>subgroup</w:t>
      </w:r>
      <w:r>
        <w:rPr>
          <w:b w:val="0"/>
        </w:rPr>
        <w:t xml:space="preserve"> difference.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Small </w:t>
      </w:r>
      <w:r>
        <w:rPr>
          <w:b/>
        </w:rPr>
        <w:t>subgroup</w:t>
      </w:r>
      <w:r>
        <w:rPr>
          <w:b w:val="0"/>
        </w:rPr>
        <w:t xml:space="preserve"> samples have high variability. An observed gap does not by itself establish discrimination or a causal explanation.</w:t>
      </w:r>
    </w:p>
    <w:p>
      <w:pPr>
        <w:pStyle w:val="Heading3"/>
      </w:pPr>
      <w:r>
        <w:t>Keep the stated limit</w:t>
      </w:r>
    </w:p>
    <w:p>
      <w:pPr>
        <w:spacing w:line="336" w:lineRule="auto" w:after="180"/>
        <w:shd w:fill="FFF5E6"/>
      </w:pPr>
      <w:r>
        <w:rPr>
          <w:b w:val="0"/>
        </w:rPr>
        <w:t xml:space="preserve">Read the labelled picture: Why should the report retain </w:t>
      </w:r>
      <w:r>
        <w:rPr>
          <w:b/>
        </w:rPr>
        <w:t>subgroup</w:t>
      </w:r>
      <w:r>
        <w:rPr>
          <w:b w:val="0"/>
        </w:rPr>
        <w:t xml:space="preserve"> rates alongside the total?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Shade gains5 new cases with no errors. Predict the result before checking the explanation. What remains the same?</w:t>
      </w:r>
    </w:p>
    <w:p>
      <w:pPr>
        <w:pStyle w:val="Heading1"/>
      </w:pPr>
      <w:r>
        <w:t>07. Find and repair a mistake</w:t>
      </w:r>
    </w:p>
    <w:p>
      <w:r>
        <w:t>Find the unsupported step in the Subgroup Performance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7" name="Picture 17" descr="Misconception diagnosis and controlled repair for Week 31"/>
            <wp:cNvGraphicFramePr>
              <a:graphicFrameLocks noChangeAspect="1"/>
            </wp:cNvGraphicFramePr>
            <a:graphic>
              <a:graphicData uri="http://schemas.openxmlformats.org/drawingml/2006/picture">
                <pic:pic>
                  <pic:nvPicPr>
                    <pic:cNvPr id="0" name="5521d9df4b6ae7c546f89120d7a2a7ff84f410a5560e0682b1e29472f1cd2182.png"/>
                    <pic:cNvPicPr/>
                  </pic:nvPicPr>
                  <pic:blipFill>
                    <a:blip r:embed="rId24"/>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 xml:space="preserve">CLAIM TO CHALLENGE  A good overall result guarantees acceptable performance for every </w:t>
      </w:r>
      <w:r>
        <w:rPr>
          <w:b/>
        </w:rPr>
        <w:t>subgroup</w:t>
      </w:r>
      <w:r>
        <w:rPr>
          <w:b w:val="0"/>
        </w:rPr>
        <w:t>.</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Equal error rates alone do not establish fairness, and unequal rates alone do not identify discrimination or a cause. Groups may differ in base rates, label quality or conditions.</w:t>
      </w:r>
    </w:p>
    <w:p>
      <w:pPr>
        <w:spacing w:line="336" w:lineRule="auto" w:after="180"/>
        <w:shd w:fill="FFF5E6"/>
      </w:pPr>
      <w:r>
        <w:rPr>
          <w:b w:val="0"/>
        </w:rPr>
        <w:t>Use results to ask better questions and plan review rather than label a group as inherently difficult.</w:t>
      </w:r>
    </w:p>
    <w:p>
      <w:pPr>
        <w:pStyle w:val="Heading3"/>
      </w:pPr>
      <w:r>
        <w:t>Why does equal accuracy not settle whether use is fair?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Subgroup Performance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8" name="Picture 18"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5"/>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 xml:space="preserve">METRICS + positive class + units + </w:t>
      </w:r>
      <w:r>
        <w:rPr>
          <w:b/>
        </w:rPr>
        <w:t>denominator</w:t>
      </w:r>
      <w:r>
        <w:rPr>
          <w:b w:val="0"/>
        </w:rPr>
        <w:t>s</w:t>
      </w:r>
    </w:p>
    <w:p>
      <w:pPr>
        <w:spacing w:line="336" w:lineRule="auto" w:after="180"/>
      </w:pPr>
      <w:r>
        <w:rPr>
          <w:b/>
        </w:rPr>
        <w:t>PREDICTION</w:t>
      </w:r>
      <w:r>
        <w:rPr>
          <w:b w:val="0"/>
        </w:rPr>
        <w:t xml:space="preserve">S + errors + </w:t>
      </w:r>
      <w:r>
        <w:rPr>
          <w:b/>
        </w:rPr>
        <w:t>subgroup</w:t>
      </w:r>
      <w:r>
        <w:rPr>
          <w:b w:val="0"/>
        </w:rPr>
        <w:t xml:space="preserve">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Choose group definitions for a reason connected to use and possible harm. Retain error types, reference-label quality and sampling method. Avoid searching many groupings merely to find a dramatic or reassuring number.</w:t>
      </w:r>
    </w:p>
    <w:p>
      <w:pPr>
        <w:spacing w:line="336" w:lineRule="auto" w:after="180"/>
      </w:pPr>
      <w:r>
        <w:rPr>
          <w:b w:val="0"/>
        </w:rPr>
        <w:t>Report exploratory checks as exploratory.</w:t>
      </w:r>
    </w:p>
    <w:p>
      <w:pPr>
        <w:pStyle w:val="Heading3"/>
      </w:pPr>
      <w:r>
        <w:t>Practise with less help: Check sensitivity</w:t>
      </w:r>
    </w:p>
    <w:p>
      <w:pPr>
        <w:spacing w:line="336" w:lineRule="auto" w:after="180"/>
      </w:pPr>
      <w:r>
        <w:rPr>
          <w:b w:val="0"/>
        </w:rPr>
        <w:t>Use workbook W2 for the connected example “</w:t>
      </w:r>
      <w:r>
        <w:rPr>
          <w:b/>
        </w:rPr>
        <w:t>Subgroup</w:t>
      </w:r>
      <w:r>
        <w:rPr>
          <w:b w:val="0"/>
        </w:rPr>
        <w:t xml:space="preserve"> evaluation”.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Subgroup</w:t>
      </w:r>
      <w:r>
        <w:rPr>
          <w:b w:val="0"/>
        </w:rPr>
        <w:t xml:space="preserve"> evaluation. Proposed explanation: “A final answer is enough”. Decide whether this explanation is supported. 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should the report retain </w:t>
      </w:r>
      <w:r>
        <w:rPr>
          <w:b/>
        </w:rPr>
        <w:t>subgroup</w:t>
      </w:r>
      <w:r>
        <w:rPr>
          <w:b w:val="0"/>
        </w:rPr>
        <w:t xml:space="preserve"> rates alongside the total?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Subgroup Performance.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9" name="Picture 19" descr="Guided ML lab for Week 31"/>
            <wp:cNvGraphicFramePr>
              <a:graphicFrameLocks noChangeAspect="1"/>
            </wp:cNvGraphicFramePr>
            <a:graphic>
              <a:graphicData uri="http://schemas.openxmlformats.org/drawingml/2006/picture">
                <pic:pic>
                  <pic:nvPicPr>
                    <pic:cNvPr id="0" name="ce3bad77273b21a4950b4956e61f013279ecadb6e50e86fdeae2bc890b942d6b.png"/>
                    <pic:cNvPicPr/>
                  </pic:nvPicPr>
                  <pic:blipFill>
                    <a:blip r:embed="rId26"/>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Slice Audit: compute metrics and </w:t>
      </w:r>
      <w:r>
        <w:rPr>
          <w:b/>
        </w:rPr>
        <w:t>denominator</w:t>
      </w:r>
      <w:r>
        <w:rPr>
          <w:b w:val="0"/>
        </w:rPr>
        <w:t>s for lighting, species, and camera; flag small samples and prioritize one gap.</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Subgroup Performance.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0" name="Picture 20"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7"/>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subgroup</w:t>
      </w:r>
      <w:r>
        <w:rPr>
          <w:b w:val="0"/>
        </w:rPr>
        <w:t xml:space="preserve">, </w:t>
      </w:r>
      <w:r>
        <w:rPr>
          <w:b/>
        </w:rPr>
        <w:t>performance gap</w:t>
      </w:r>
      <w:r>
        <w:rPr>
          <w:b w:val="0"/>
        </w:rPr>
        <w:t xml:space="preserve">, </w:t>
      </w:r>
      <w:r>
        <w:rPr>
          <w:b/>
        </w:rPr>
        <w:t>denominator</w:t>
      </w:r>
      <w:r>
        <w:rPr>
          <w:b w:val="0"/>
        </w:rPr>
        <w:t xml:space="preserve">, </w:t>
      </w:r>
      <w:r>
        <w:rPr>
          <w:b/>
        </w:rPr>
        <w:t>intersection</w:t>
      </w:r>
      <w:r>
        <w:rPr>
          <w:b w:val="0"/>
        </w:rPr>
        <w:t>.</w:t>
      </w:r>
    </w:p>
    <w:p>
      <w:pPr>
        <w:spacing w:line="336" w:lineRule="auto" w:after="180"/>
      </w:pPr>
      <w:r>
        <w:rPr>
          <w:b w:val="0"/>
        </w:rPr>
        <w:t xml:space="preserve">CALCULATE  Reproduce the worked </w:t>
      </w:r>
      <w:r>
        <w:rPr>
          <w:b/>
        </w:rPr>
        <w:t>evidence</w:t>
      </w:r>
      <w:r>
        <w:rPr>
          <w:b w:val="0"/>
        </w:rPr>
        <w:t xml:space="preserve"> with units and </w:t>
      </w:r>
      <w:r>
        <w:rPr>
          <w:b/>
        </w:rPr>
        <w:t>denominator</w:t>
      </w:r>
      <w:r>
        <w:rPr>
          <w:b w:val="0"/>
        </w:rPr>
        <w:t>.</w:t>
      </w:r>
    </w:p>
    <w:p>
      <w:pPr>
        <w:spacing w:line="336" w:lineRule="auto" w:after="180"/>
        <w:shd w:fill="F4F9FC"/>
      </w:pPr>
      <w:r>
        <w:rPr>
          <w:b w:val="0"/>
        </w:rPr>
        <w:t>TRACE  Explain the data, code or decision path.</w:t>
      </w:r>
    </w:p>
    <w:p>
      <w:pPr>
        <w:spacing w:line="336" w:lineRule="auto" w:after="180"/>
        <w:shd w:fill="F4F9FC"/>
      </w:pPr>
      <w:r>
        <w:rPr>
          <w:b w:val="0"/>
        </w:rPr>
        <w:t xml:space="preserve">DIAGNOSE  A good overall result guarantees acceptable performance for every </w:t>
      </w:r>
      <w:r>
        <w:rPr>
          <w:b/>
        </w:rPr>
        <w:t>subgroup</w:t>
      </w:r>
      <w:r>
        <w:rPr>
          <w:b w:val="0"/>
        </w:rPr>
        <w:t>.</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1" name="Picture 21" descr="Responsible Plant Classifier checkpoint for Week 31"/>
            <wp:cNvGraphicFramePr>
              <a:graphicFrameLocks noChangeAspect="1"/>
            </wp:cNvGraphicFramePr>
            <a:graphic>
              <a:graphicData uri="http://schemas.openxmlformats.org/drawingml/2006/picture">
                <pic:pic>
                  <pic:nvPicPr>
                    <pic:cNvPr id="0" name="9718f9112d251407dc05b92c872998fa99b9e2dc016fbbc0dd4f5eff696ff0d7.png"/>
                    <pic:cNvPicPr/>
                  </pic:nvPicPr>
                  <pic:blipFill>
                    <a:blip r:embed="rId28"/>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Add </w:t>
      </w:r>
      <w:r>
        <w:rPr>
          <w:b/>
        </w:rPr>
        <w:t>subgroup</w:t>
      </w:r>
      <w:r>
        <w:rPr>
          <w:b w:val="0"/>
        </w:rPr>
        <w:t xml:space="preserve"> tables and a minimum acceptable threshold to the Plant Classifier release criteria.</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2" name="Picture 22" descr="Independent ML Builder proof for Week 31"/>
            <wp:cNvGraphicFramePr>
              <a:graphicFrameLocks noChangeAspect="1"/>
            </wp:cNvGraphicFramePr>
            <a:graphic>
              <a:graphicData uri="http://schemas.openxmlformats.org/drawingml/2006/picture">
                <pic:pic>
                  <pic:nvPicPr>
                    <pic:cNvPr id="0" name="9e46b96d85d705bb3d3f1051555fbe2efa0e63d877b69ce5c28c589801b09e2a.png"/>
                    <pic:cNvPicPr/>
                  </pic:nvPicPr>
                  <pic:blipFill>
                    <a:blip r:embed="rId29"/>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Calculate </w:t>
      </w:r>
      <w:r>
        <w:rPr>
          <w:b/>
        </w:rPr>
        <w:t>subgroup</w:t>
      </w:r>
      <w:r>
        <w:rPr>
          <w:b w:val="0"/>
        </w:rPr>
        <w:t xml:space="preserve"> accuracy and recall gaps with adequate </w:t>
      </w:r>
      <w:r>
        <w:rPr>
          <w:b/>
        </w:rPr>
        <w:t>denominator</w:t>
      </w:r>
      <w:r>
        <w:rPr>
          <w:b w:val="0"/>
        </w:rPr>
        <w:t>s.</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Proxy Features and Fairness.</w:t>
      </w:r>
    </w:p>
    <w:p>
      <w:pPr>
        <w:pStyle w:val="Heading1"/>
      </w:pPr>
      <w:r>
        <w:t>13. Study a complete case</w:t>
      </w:r>
    </w:p>
    <w:p>
      <w:r>
        <w:t>Revisit the complete Subgroup Performance case for supported practice. Repeated examples do not become fresh assessments.</w:t>
      </w:r>
    </w:p>
    <w:p>
      <w:pPr>
        <w:pStyle w:val="Heading3"/>
      </w:pPr>
      <w:r>
        <w:t>Week 31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has18/20 correct; B has6/10.</w:t>
      </w:r>
    </w:p>
    <w:p>
      <w:pPr>
        <w:pStyle w:val="Heading3"/>
      </w:pPr>
      <w:r>
        <w:t>The question</w:t>
      </w:r>
    </w:p>
    <w:p>
      <w:pPr>
        <w:spacing w:line="336" w:lineRule="auto" w:after="180"/>
      </w:pPr>
      <w:r>
        <w:rPr>
          <w:b w:val="0"/>
        </w:rPr>
        <w:t xml:space="preserve">Compute </w:t>
      </w:r>
      <w:r>
        <w:rPr>
          <w:b/>
        </w:rPr>
        <w:t>subgroup</w:t>
      </w:r>
      <w:r>
        <w:rPr>
          <w:b w:val="0"/>
        </w:rPr>
        <w:t xml:space="preserve"> results and </w:t>
      </w:r>
      <w:r>
        <w:rPr>
          <w:b/>
        </w:rPr>
        <w:t>evidence</w:t>
      </w:r>
      <w:r>
        <w:rPr>
          <w:b w:val="0"/>
        </w:rPr>
        <w:t xml:space="preserve"> limits.</w:t>
      </w:r>
    </w:p>
    <w:p>
      <w:pPr>
        <w:pStyle w:val="Heading3"/>
      </w:pPr>
      <w:r>
        <w:t>Worked explanation</w:t>
      </w:r>
    </w:p>
    <w:p>
      <w:pPr>
        <w:spacing w:line="336" w:lineRule="auto" w:after="180"/>
      </w:pPr>
      <w:r>
        <w:rPr>
          <w:b w:val="0"/>
        </w:rPr>
        <w:t>90% versus</w:t>
      </w:r>
      <w:r>
        <w:rPr>
          <w:b/>
        </w:rPr>
        <w:t>60%</w:t>
      </w:r>
      <w:r>
        <w:rPr>
          <w:b w:val="0"/>
        </w:rPr>
        <w:t xml:space="preserve">, gap30 percentage points. Report </w:t>
      </w:r>
      <w:r>
        <w:rPr>
          <w:b/>
        </w:rPr>
        <w:t>denominator</w:t>
      </w:r>
      <w:r>
        <w:rPr>
          <w:b w:val="0"/>
        </w:rPr>
        <w:t>s and investigate collection/label differences without assuming an inherent group cause.</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Report subgroup denominators with rates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Group A</w:t>
            </w:r>
          </w:p>
        </w:tc>
        <w:tc>
          <w:tcPr>
            <w:tcW w:type="dxa" w:w="5112"/>
          </w:tcPr>
          <w:p>
            <w:r>
              <w:t>18/20</w:t>
            </w:r>
          </w:p>
        </w:tc>
      </w:tr>
      <w:tr>
        <w:tc>
          <w:tcPr>
            <w:tcW w:type="dxa" w:w="5112"/>
          </w:tcPr>
          <w:p>
            <w:r>
              <w:t>Group B</w:t>
            </w:r>
          </w:p>
        </w:tc>
        <w:tc>
          <w:tcPr>
            <w:tcW w:type="dxa" w:w="5112"/>
          </w:tcPr>
          <w:p>
            <w:r>
              <w:t>6/10</w:t>
            </w:r>
          </w:p>
        </w:tc>
      </w:tr>
    </w:tbl>
    <w:p>
      <w:pPr>
        <w:spacing w:line="336" w:lineRule="auto" w:after="180"/>
      </w:pPr>
      <w:r>
        <w:rPr>
          <w:b w:val="0"/>
        </w:rPr>
        <w:t>A has18/20 correct; B has6/10.</w:t>
      </w:r>
    </w:p>
    <w:p>
      <w:pPr>
        <w:spacing w:line="336" w:lineRule="auto" w:after="180"/>
      </w:pPr>
      <w:r>
        <w:rPr>
          <w:b w:val="0"/>
        </w:rPr>
        <w:t xml:space="preserve">Compute </w:t>
      </w:r>
      <w:r>
        <w:rPr>
          <w:b/>
        </w:rPr>
        <w:t>subgroup</w:t>
      </w:r>
      <w:r>
        <w:rPr>
          <w:b w:val="0"/>
        </w:rPr>
        <w:t xml:space="preserve"> results and </w:t>
      </w:r>
      <w:r>
        <w:rPr>
          <w:b/>
        </w:rPr>
        <w:t>evidence</w:t>
      </w:r>
      <w:r>
        <w:rPr>
          <w:b w:val="0"/>
        </w:rPr>
        <w:t xml:space="preserve"> limits.</w:t>
      </w:r>
    </w:p>
    <w:p>
      <w:pPr>
        <w:spacing w:line="336" w:lineRule="auto" w:after="180"/>
      </w:pPr>
      <w:r>
        <w:rPr>
          <w:b w:val="0"/>
        </w:rPr>
        <w:t>90% versus</w:t>
      </w:r>
      <w:r>
        <w:rPr>
          <w:b/>
        </w:rPr>
        <w:t>60%</w:t>
      </w:r>
      <w:r>
        <w:rPr>
          <w:b w:val="0"/>
        </w:rPr>
        <w:t xml:space="preserve">, gap30 percentage points. Report </w:t>
      </w:r>
      <w:r>
        <w:rPr>
          <w:b/>
        </w:rPr>
        <w:t>denominator</w:t>
      </w:r>
      <w:r>
        <w:rPr>
          <w:b w:val="0"/>
        </w:rPr>
        <w:t>s and investigate collection/label differences without assuming an inherent group cause.</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independently</w:t>
      </w:r>
    </w:p>
    <w:p>
      <w:pPr>
        <w:spacing w:line="336" w:lineRule="auto" w:after="180"/>
      </w:pPr>
      <w:r>
        <w:rPr>
          <w:b w:val="0"/>
        </w:rPr>
        <w:t>Groups X 1 error/10 and Y 2/4: calculate separate and pooled rates, then state one limit.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31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Accuracy is 18/20 in bright light and 6/10 in dim light. Compute both rates and the percentage-point gap.</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Add </w:t>
      </w:r>
      <w:r>
        <w:rPr>
          <w:b/>
        </w:rPr>
        <w:t>subgroup</w:t>
      </w:r>
      <w:r>
        <w:rPr>
          <w:b w:val="0"/>
        </w:rPr>
        <w:t xml:space="preserve"> tables and a minimum acceptable threshold to the Plant Classifier release criteria.</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Device A gets 18/20 correct; B gets 6/10. Compute overall accuracy and the </w:t>
      </w:r>
      <w:r>
        <w:rPr>
          <w:b/>
        </w:rPr>
        <w:t>subgroup</w:t>
      </w:r>
      <w:r>
        <w:rPr>
          <w:b w:val="0"/>
        </w:rPr>
        <w:t xml:space="preserve"> gap. What causal claim is not supported?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Subgroup Performance, connect the goals to tasks and keep one evidence record for each attempt.</w:t>
      </w:r>
    </w:p>
    <w:p>
      <w:pPr>
        <w:spacing w:line="336" w:lineRule="auto" w:after="180"/>
      </w:pPr>
      <w:r>
        <w:rPr>
          <w:b w:val="0"/>
        </w:rPr>
        <w:t xml:space="preserve">Start with this question: Calculate </w:t>
      </w:r>
      <w:r>
        <w:rPr>
          <w:b/>
        </w:rPr>
        <w:t>subgroup</w:t>
      </w:r>
      <w:r>
        <w:rPr>
          <w:b w:val="0"/>
        </w:rPr>
        <w:t xml:space="preserve"> and pooled error rates without letting the larger group hide a gap.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Calculate subgroup results with sample sizes</w:t>
            </w:r>
          </w:p>
        </w:tc>
        <w:tc>
          <w:tcPr>
            <w:tcW w:type="dxa" w:w="5112"/>
          </w:tcPr>
          <w:p>
            <w:r>
              <w:t>Explain the deciding step, show a trace or test, and state one limit.</w:t>
            </w:r>
          </w:p>
        </w:tc>
      </w:tr>
      <w:tr>
        <w:tc>
          <w:tcPr>
            <w:tcW w:type="dxa" w:w="5112"/>
          </w:tcPr>
          <w:p>
            <w:r>
              <w:t>Distinguish missing evidence from equal performance</w:t>
            </w:r>
          </w:p>
        </w:tc>
        <w:tc>
          <w:tcPr>
            <w:tcW w:type="dxa" w:w="5112"/>
          </w:tcPr>
          <w:p>
            <w:r>
              <w:t>Explain the deciding step, show a trace or test, and state one limit.</w:t>
            </w:r>
          </w:p>
        </w:tc>
      </w:tr>
      <w:tr>
        <w:tc>
          <w:tcPr>
            <w:tcW w:type="dxa" w:w="5112"/>
          </w:tcPr>
          <w:p>
            <w:r>
              <w:t>Report differences without assigning causes from a table</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Subgroup Performance without notes, identify a remaining question and plan a later check with a changed case.</w:t>
      </w:r>
    </w:p>
    <w:p>
      <w:pPr>
        <w:spacing w:line="336" w:lineRule="auto" w:after="180"/>
      </w:pPr>
      <w:r>
        <w:rPr>
          <w:b w:val="0"/>
        </w:rPr>
        <w:t xml:space="preserve">Close your notes. Explain this goal in your own words: Calculate </w:t>
      </w:r>
      <w:r>
        <w:rPr>
          <w:b/>
        </w:rPr>
        <w:t>subgroup</w:t>
      </w:r>
      <w:r>
        <w:rPr>
          <w:b w:val="0"/>
        </w:rPr>
        <w:t xml:space="preserve"> results with sample sizes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Calculate </w:t>
      </w:r>
      <w:r>
        <w:rPr>
          <w:b/>
        </w:rPr>
        <w:t>subgroup</w:t>
      </w:r>
      <w:r>
        <w:rPr>
          <w:b w:val="0"/>
        </w:rPr>
        <w:t xml:space="preserve"> and pooled error rates without letting the larger group hide a gap.</w:t>
      </w:r>
    </w:p>
    <w:p>
      <w:pPr>
        <w:pStyle w:val="Heading3"/>
      </w:pPr>
      <w:r>
        <w:t>Practice 1: explain the deciding evidence</w:t>
      </w:r>
    </w:p>
    <w:p>
      <w:pPr>
        <w:spacing w:line="336" w:lineRule="auto" w:after="180"/>
      </w:pPr>
      <w:r>
        <w:rPr>
          <w:b w:val="0"/>
        </w:rPr>
        <w:t xml:space="preserve">Which labelled step matches this detail? Total error=5/25=20%, which hides the 50-percentage-point </w:t>
      </w:r>
      <w:r>
        <w:rPr>
          <w:b/>
        </w:rPr>
        <w:t>subgroup</w:t>
      </w:r>
      <w:r>
        <w:rPr>
          <w:b w:val="0"/>
        </w:rPr>
        <w:t xml:space="preserve"> difference.</w:t>
      </w:r>
    </w:p>
    <w:p>
      <w:pPr>
        <w:spacing w:line="336" w:lineRule="auto" w:after="180"/>
        <w:shd w:fill="F4F9FC"/>
      </w:pPr>
      <w:r>
        <w:rPr>
          <w:b w:val="0"/>
        </w:rPr>
        <w:t>1. Pooled rate</w:t>
      </w:r>
    </w:p>
    <w:p>
      <w:pPr>
        <w:spacing w:line="336" w:lineRule="auto" w:after="180"/>
        <w:shd w:fill="F4F9FC"/>
      </w:pPr>
      <w:r>
        <w:rPr>
          <w:b w:val="0"/>
        </w:rPr>
        <w:t>2. Sun rate</w:t>
      </w:r>
    </w:p>
    <w:p>
      <w:pPr>
        <w:spacing w:line="336" w:lineRule="auto" w:after="180"/>
        <w:shd w:fill="F4F9FC"/>
      </w:pPr>
      <w:r>
        <w:rPr>
          <w:b w:val="0"/>
        </w:rPr>
        <w:t>3. Shade rate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Pooled rate Total error=5/25=20%, which hides the 50-percentage-point </w:t>
      </w:r>
      <w:r>
        <w:rPr>
          <w:b/>
        </w:rPr>
        <w:t>subgroup</w:t>
      </w:r>
      <w:r>
        <w:rPr>
          <w:b w:val="0"/>
        </w:rPr>
        <w:t xml:space="preserve"> difference. Read the picture in order.</w:t>
      </w:r>
    </w:p>
    <w:p>
      <w:pPr>
        <w:spacing w:line="336" w:lineRule="auto" w:after="180"/>
        <w:shd w:fill="F1F6FC"/>
      </w:pPr>
      <w:r>
        <w:rPr>
          <w:b w:val="0"/>
        </w:rPr>
        <w:t xml:space="preserve">Total error=5/25=20%, which hides the 50-percentage-point </w:t>
      </w:r>
      <w:r>
        <w:rPr>
          <w:b/>
        </w:rPr>
        <w:t>subgroup</w:t>
      </w:r>
      <w:r>
        <w:rPr>
          <w:b w:val="0"/>
        </w:rPr>
        <w:t xml:space="preserve"> difference.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Shade gains5 new cases with no errors.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Shade error becomes3/10=30%; pooled error becomes5/30≈16.7%.</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Shade error becomes3/10=30%; pooled error becomes5/30≈16.7%. Extra evaluated cases change </w:t>
      </w:r>
      <w:r>
        <w:rPr>
          <w:b/>
        </w:rPr>
        <w:t>denominator</w:t>
      </w:r>
      <w:r>
        <w:rPr>
          <w:b w:val="0"/>
        </w:rPr>
        <w:t>s; existing errors have not disappeared.</w:t>
      </w:r>
    </w:p>
    <w:p>
      <w:pPr>
        <w:pStyle w:val="Heading3"/>
      </w:pPr>
      <w:r>
        <w:t>Repair a missing building block</w:t>
      </w:r>
    </w:p>
    <w:p>
      <w:pPr>
        <w:spacing w:line="336" w:lineRule="auto" w:after="180"/>
      </w:pPr>
      <w:r>
        <w:rPr>
          <w:b w:val="0"/>
        </w:rPr>
        <w:t xml:space="preserve">Review Improve Generalization (ai-4/30). Goal: Compare </w:t>
      </w:r>
      <w:r>
        <w:rPr>
          <w:b/>
        </w:rPr>
        <w:t>training</w:t>
      </w:r>
      <w:r>
        <w:rPr>
          <w:b w:val="0"/>
        </w:rPr>
        <w:t xml:space="preserve"> and validation </w:t>
      </w:r>
      <w:r>
        <w:rPr>
          <w:b/>
        </w:rPr>
        <w:t>evidence</w:t>
      </w:r>
      <w:r>
        <w:rPr>
          <w:b w:val="0"/>
        </w:rPr>
        <w:t xml:space="preserve"> for model capacity. Short practice: What fresh </w:t>
      </w:r>
      <w:r>
        <w:rPr>
          <w:b/>
        </w:rPr>
        <w:t>evidence</w:t>
      </w:r>
      <w:r>
        <w:rPr>
          <w:b w:val="0"/>
        </w:rPr>
        <w:t xml:space="preserve"> is needed after adding crossed </w:t>
      </w:r>
      <w:r>
        <w:rPr>
          <w:b/>
        </w:rPr>
        <w:t>training</w:t>
      </w:r>
      <w:r>
        <w:rPr>
          <w:b w:val="0"/>
        </w:rPr>
        <w:t xml:space="preserve"> data?</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Learning Curves (ai-4/28). Goal: Read </w:t>
      </w:r>
      <w:r>
        <w:rPr>
          <w:b/>
        </w:rPr>
        <w:t>training</w:t>
      </w:r>
      <w:r>
        <w:rPr>
          <w:b w:val="0"/>
        </w:rPr>
        <w:t>-size learning curves. Short practice: What comparison is valid if the validation set changes between sizes?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Metrics Match Consequences (ai-4/25). Goal: Apply a declared score threshold including equality. Short practice: Which labels determine the false-alarm count at threshold 0.4?</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Subgroup Performance graphic using its labels, deciding evidence and relevant limitation.</w:t>
      </w:r>
    </w:p>
    <w:p>
      <w:pPr>
        <w:pStyle w:val="Heading3"/>
      </w:pPr>
      <w:r>
        <w:t>01. Subgroup Performance: the case</w:t>
      </w:r>
    </w:p>
    <w:p>
      <w:r>
        <w:drawing>
          <wp:inline xmlns:a="http://schemas.openxmlformats.org/drawingml/2006/main" xmlns:pic="http://schemas.openxmlformats.org/drawingml/2006/picture">
            <wp:extent cx="5486400" cy="2990088"/>
            <wp:docPr id="23" name="Picture 23" descr="Calculate subgroup and pooled error rates without letting the larger group hide a gap. Supplied facts: Group Sun: 2 errors in20 photos; Shade: 3 errors in5. Same error definition; related plant views are documen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1-01.png"/>
                    <pic:cNvPicPr/>
                  </pic:nvPicPr>
                  <pic:blipFill>
                    <a:blip r:embed="rId30"/>
                    <a:stretch>
                      <a:fillRect/>
                    </a:stretch>
                  </pic:blipFill>
                  <pic:spPr>
                    <a:xfrm>
                      <a:off x="0" y="0"/>
                      <a:ext cx="5486400" cy="2990088"/>
                    </a:xfrm>
                    <a:prstGeom prst="rect"/>
                  </pic:spPr>
                </pic:pic>
              </a:graphicData>
            </a:graphic>
          </wp:inline>
        </w:drawing>
      </w:r>
    </w:p>
    <w:p>
      <w:pPr>
        <w:spacing w:line="336" w:lineRule="auto" w:after="180"/>
      </w:pPr>
      <w:r>
        <w:rPr>
          <w:b w:val="0"/>
        </w:rPr>
        <w:t xml:space="preserve">Calculate </w:t>
      </w:r>
      <w:r>
        <w:rPr>
          <w:b/>
        </w:rPr>
        <w:t>subgroup</w:t>
      </w:r>
      <w:r>
        <w:rPr>
          <w:b w:val="0"/>
        </w:rPr>
        <w:t xml:space="preserve"> and pooled error rates without letting the larger group hide a gap. Supplied facts: Group Sun: 2 errors in20 photos; Shade: 3 errors in5. Same error definition; related plant views are documented.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4" name="Picture 24" descr="Sun rate: Sun error=2/20=10%. → Shade rate: Shade error=3/5=60%. → Pooled rate: Total error=5/25=20%, which hides the 50-percentage-point subgroup difference."/>
            <wp:cNvGraphicFramePr>
              <a:graphicFrameLocks noChangeAspect="1"/>
            </wp:cNvGraphicFramePr>
            <a:graphic>
              <a:graphicData uri="http://schemas.openxmlformats.org/drawingml/2006/picture">
                <pic:pic>
                  <pic:nvPicPr>
                    <pic:cNvPr id="0" name="academy-story-ai-4-31-02.png"/>
                    <pic:cNvPicPr/>
                  </pic:nvPicPr>
                  <pic:blipFill>
                    <a:blip r:embed="rId31"/>
                    <a:stretch>
                      <a:fillRect/>
                    </a:stretch>
                  </pic:blipFill>
                  <pic:spPr>
                    <a:xfrm>
                      <a:off x="0" y="0"/>
                      <a:ext cx="5486400" cy="3337560"/>
                    </a:xfrm>
                    <a:prstGeom prst="rect"/>
                  </pic:spPr>
                </pic:pic>
              </a:graphicData>
            </a:graphic>
          </wp:inline>
        </w:drawing>
      </w:r>
    </w:p>
    <w:p>
      <w:pPr>
        <w:spacing w:line="336" w:lineRule="auto" w:after="180"/>
      </w:pPr>
      <w:r>
        <w:rPr>
          <w:b w:val="0"/>
        </w:rPr>
        <w:t>Sun rate: Sun error=2/20=10%. → Shade rate: Shade error=3/5=</w:t>
      </w:r>
      <w:r>
        <w:rPr>
          <w:b/>
        </w:rPr>
        <w:t>60%</w:t>
      </w:r>
      <w:r>
        <w:rPr>
          <w:b w:val="0"/>
        </w:rPr>
        <w:t xml:space="preserve">. → Pooled rate: Total error=5/25=20%, which hides the 50-percentage-point </w:t>
      </w:r>
      <w:r>
        <w:rPr>
          <w:b/>
        </w:rPr>
        <w:t>subgroup</w:t>
      </w:r>
      <w:r>
        <w:rPr>
          <w:b w:val="0"/>
        </w:rPr>
        <w:t xml:space="preserve"> difference.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Subgroup error rates</w:t>
      </w:r>
    </w:p>
    <w:p>
      <w:r>
        <w:drawing>
          <wp:inline xmlns:a="http://schemas.openxmlformats.org/drawingml/2006/main" xmlns:pic="http://schemas.openxmlformats.org/drawingml/2006/picture">
            <wp:extent cx="5486400" cy="3145536"/>
            <wp:docPr id="25" name="Picture 25" descr="Subgroup error rates. Units: percent. Sun (n20): 10. Shade (n5): 60. pooled (n25): 20."/>
            <wp:cNvGraphicFramePr>
              <a:graphicFrameLocks noChangeAspect="1"/>
            </wp:cNvGraphicFramePr>
            <a:graphic>
              <a:graphicData uri="http://schemas.openxmlformats.org/drawingml/2006/picture">
                <pic:pic>
                  <pic:nvPicPr>
                    <pic:cNvPr id="0" name="academy-story-ai-4-31-03.png"/>
                    <pic:cNvPicPr/>
                  </pic:nvPicPr>
                  <pic:blipFill>
                    <a:blip r:embed="rId32"/>
                    <a:stretch>
                      <a:fillRect/>
                    </a:stretch>
                  </pic:blipFill>
                  <pic:spPr>
                    <a:xfrm>
                      <a:off x="0" y="0"/>
                      <a:ext cx="5486400" cy="3145536"/>
                    </a:xfrm>
                    <a:prstGeom prst="rect"/>
                  </pic:spPr>
                </pic:pic>
              </a:graphicData>
            </a:graphic>
          </wp:inline>
        </w:drawing>
      </w:r>
    </w:p>
    <w:p>
      <w:pPr>
        <w:spacing w:line="336" w:lineRule="auto" w:after="180"/>
      </w:pPr>
      <w:r>
        <w:rPr>
          <w:b/>
        </w:rPr>
        <w:t>Subgroup</w:t>
      </w:r>
      <w:r>
        <w:rPr>
          <w:b w:val="0"/>
        </w:rPr>
        <w:t xml:space="preserve"> error rates. Units: percent. Sun (n20): 10. Shade (n5): 60. pooled (n25): 20.</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Total error=5/25=20%, which hides the 50-percentage-point subgroup difference. Changed condition: Shade gains5 new cases with no errors. Expected result: Shade error becomes3/10=30%; pooled error becomes5/30≈16.7%. Reason: Extra evaluated cases change denominators; existing errors have not disappeared."/>
            <wp:cNvGraphicFramePr>
              <a:graphicFrameLocks noChangeAspect="1"/>
            </wp:cNvGraphicFramePr>
            <a:graphic>
              <a:graphicData uri="http://schemas.openxmlformats.org/drawingml/2006/picture">
                <pic:pic>
                  <pic:nvPicPr>
                    <pic:cNvPr id="0" name="academy-story-ai-4-31-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Total error=5/25=20%, which hides the 50-percentage-point </w:t>
      </w:r>
      <w:r>
        <w:rPr>
          <w:b/>
        </w:rPr>
        <w:t>subgroup</w:t>
      </w:r>
      <w:r>
        <w:rPr>
          <w:b w:val="0"/>
        </w:rPr>
        <w:t xml:space="preserve"> difference. Changed condition: Shade gains5 new cases with no errors.</w:t>
      </w:r>
    </w:p>
    <w:p>
      <w:pPr>
        <w:spacing w:line="336" w:lineRule="auto" w:after="180"/>
      </w:pPr>
      <w:r>
        <w:rPr>
          <w:b w:val="0"/>
        </w:rPr>
        <w:t xml:space="preserve">Expected result: Shade error becomes3/10=30%; pooled error becomes5/30≈16.7%. Reason: Extra evaluated cases change </w:t>
      </w:r>
      <w:r>
        <w:rPr>
          <w:b/>
        </w:rPr>
        <w:t>denominator</w:t>
      </w:r>
      <w:r>
        <w:rPr>
          <w:b w:val="0"/>
        </w:rPr>
        <w:t>s; existing errors have not disappeared.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Read the picture in order. Total error=5/25=20%, which hides the 50-percentage-point subgroup difference. The arrows show which recorded input or intermediate result each decision uses. Explain the deciding step aloud before checking the changed case; pointing to the final answer alone does not show how it follows. Limit: Small subgroup samples have high variability. An observed gap does not by itself establish discrimination or a causal explanation."/>
            <wp:cNvGraphicFramePr>
              <a:graphicFrameLocks noChangeAspect="1"/>
            </wp:cNvGraphicFramePr>
            <a:graphic>
              <a:graphicData uri="http://schemas.openxmlformats.org/drawingml/2006/picture">
                <pic:pic>
                  <pic:nvPicPr>
                    <pic:cNvPr id="0" name="academy-story-ai-4-31-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Total error=5/25=20%, which hides the 50-percentage-point </w:t>
      </w:r>
      <w:r>
        <w:rPr>
          <w:b/>
        </w:rPr>
        <w:t>subgroup</w:t>
      </w:r>
      <w:r>
        <w:rPr>
          <w:b w:val="0"/>
        </w:rPr>
        <w:t xml:space="preserve"> difference.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Small </w:t>
      </w:r>
      <w:r>
        <w:rPr>
          <w:b/>
        </w:rPr>
        <w:t>subgroup</w:t>
      </w:r>
      <w:r>
        <w:rPr>
          <w:b w:val="0"/>
        </w:rPr>
        <w:t xml:space="preserve"> samples have high variability.</w:t>
      </w:r>
    </w:p>
    <w:p>
      <w:pPr>
        <w:spacing w:line="336" w:lineRule="auto" w:after="180"/>
      </w:pPr>
      <w:r>
        <w:rPr>
          <w:b w:val="0"/>
        </w:rPr>
        <w:t>An observed gap does not by itself establish discrimination or a causal explanation.</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8" name="Picture 2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should the report retain subgroup rates alongside the tota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1-06.png"/>
                    <pic:cNvPicPr/>
                  </pic:nvPicPr>
                  <pic:blipFill>
                    <a:blip r:embed="rId3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report retain </w:t>
      </w:r>
      <w:r>
        <w:rPr>
          <w:b/>
        </w:rPr>
        <w:t>subgroup</w:t>
      </w:r>
      <w:r>
        <w:rPr>
          <w:b w:val="0"/>
        </w:rPr>
        <w:t xml:space="preserve"> rates alongside the total?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