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ai-7/18</w:t>
      </w:r>
    </w:p>
    <w:p>
      <w:pPr>
        <w:pStyle w:val="Title"/>
      </w:pPr>
      <w:r>
        <w:t>Dataset and benchmark limitations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Sensitivity analysis.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dataset and benchmark limitations.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dataset and </w:t>
      </w:r>
      <w:r>
        <w:rPr>
          <w:b/>
        </w:rPr>
        <w:t>benchmark</w:t>
      </w:r>
      <w:r>
        <w:rPr>
          <w:b w:val="0"/>
        </w:rPr>
        <w:t xml:space="preserve"> limitations.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Sensitivity analysis.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dataset and </w:t>
      </w:r>
      <w:r>
        <w:rPr>
          <w:b/>
        </w:rPr>
        <w:t>benchmark</w:t>
      </w:r>
      <w:r>
        <w:rPr>
          <w:b w:val="0"/>
        </w:rPr>
        <w:t xml:space="preserve"> limitations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Sensitivity analysis.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dataset and </w:t>
      </w:r>
      <w:r>
        <w:rPr>
          <w:b/>
        </w:rPr>
        <w:t>benchmark</w:t>
      </w:r>
      <w:r>
        <w:rPr>
          <w:b w:val="0"/>
        </w:rPr>
        <w:t xml:space="preserve"> limitations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Dataset and benchmark limitations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measures performance on its particular data and labels. Duplicates, obsolete cases or poor coverage can weaken claims.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Dataset and benchmark limitations.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>Inspect eligibility, source dates, related units and label definitions before scoring. Deduplicate by declared unit identity, not merely file name; report excluded and unassessed cases.</w:t>
      </w:r>
    </w:p>
    <w:p>
      <w:pPr>
        <w:pStyle w:val="Heading3"/>
      </w:pPr>
      <w:r>
        <w:t>Dataset and benchmark limitations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Ten benchmark rows include three copies of one source and seven other unique sources.</w:t>
            </w:r>
          </w:p>
        </w:tc>
        <w:tc>
          <w:tcPr>
            <w:tcW w:type="dxa" w:w="3408"/>
          </w:tcPr>
          <w:p>
            <w:r>
              <w:t>Inspect eligibility, source dates, related units and label definitions before scoring. Deduplicate by declared unit identity, not merely file name; report excluded and unassessed cases.</w:t>
            </w:r>
          </w:p>
        </w:tc>
        <w:tc>
          <w:tcPr>
            <w:tcW w:type="dxa" w:w="3408"/>
          </w:tcPr>
          <w:p>
            <w:r>
              <w:t>Eight unique source units, not ten independent sources. Identify duplicate weighting before analysis; do not silently discard results.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Dataset and benchmark limitations.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Ten </w:t>
      </w:r>
      <w:r>
        <w:rPr>
          <w:b/>
        </w:rPr>
        <w:t>benchmark</w:t>
      </w:r>
      <w:r>
        <w:rPr>
          <w:b w:val="0"/>
        </w:rPr>
        <w:t xml:space="preserve"> rows include three copies of one source and seven other unique sources.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Add four reserved outdoor cases, of which two are correct.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Report the outdoor slice as 2/4=50%, separately from indoor results.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new records finally measure the missing condition, with a small denominator.</w:t>
      </w:r>
    </w:p>
    <w:p>
      <w:pPr>
        <w:pStyle w:val="Heading1"/>
      </w:pPr>
      <w:r>
        <w:t>05. Words that unlock the idea</w:t>
      </w:r>
    </w:p>
    <w:p>
      <w:r>
        <w:t>Use the vocabulary of Dataset and benchmark limitations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Benchmark</w:t>
            </w:r>
          </w:p>
        </w:tc>
        <w:tc>
          <w:tcPr>
            <w:tcW w:type="dxa" w:w="5112"/>
          </w:tcPr>
          <w:p>
            <w:r>
              <w:t>A declared task dataset and scoring procedure</w:t>
            </w:r>
          </w:p>
        </w:tc>
      </w:tr>
      <w:tr>
        <w:tc>
          <w:tcPr>
            <w:tcW w:type="dxa" w:w="5112"/>
          </w:tcPr>
          <w:p>
            <w:r>
              <w:t>Duplicate unit</w:t>
            </w:r>
          </w:p>
        </w:tc>
        <w:tc>
          <w:tcPr>
            <w:tcW w:type="dxa" w:w="5112"/>
          </w:tcPr>
          <w:p>
            <w:r>
              <w:t>Repeated representation of the same underlying entity</w:t>
            </w:r>
          </w:p>
        </w:tc>
      </w:tr>
      <w:tr>
        <w:tc>
          <w:tcPr>
            <w:tcW w:type="dxa" w:w="5112"/>
          </w:tcPr>
          <w:p>
            <w:r>
              <w:t>Coverage gap</w:t>
            </w:r>
          </w:p>
        </w:tc>
        <w:tc>
          <w:tcPr>
            <w:tcW w:type="dxa" w:w="5112"/>
          </w:tcPr>
          <w:p>
            <w:r>
              <w:t>A relevant condition absent from evaluated data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Dataset and benchmark limitations,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Ten </w:t>
      </w:r>
      <w:r>
        <w:rPr>
          <w:b/>
        </w:rPr>
        <w:t>benchmark</w:t>
      </w:r>
      <w:r>
        <w:rPr>
          <w:b w:val="0"/>
        </w:rPr>
        <w:t xml:space="preserve"> rows include three copies of one source and seven other unique sources.</w:t>
      </w:r>
    </w:p>
    <w:p>
      <w:pPr>
        <w:spacing w:line="336" w:lineRule="auto" w:after="180"/>
      </w:pPr>
      <w:r>
        <w:rPr>
          <w:b w:val="0"/>
        </w:rPr>
        <w:t>Eight unique source units, not ten independent sources. Identify duplicate weighting before analysis; do not silently discard results.</w:t>
      </w:r>
    </w:p>
    <w:p>
      <w:pPr>
        <w:pStyle w:val="Heading3"/>
      </w:pPr>
      <w:r>
        <w:t>Worked explanation · Dataset and benchmark limitations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Dataset and benchmark limitations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Indoor </w:t>
      </w:r>
      <w:r>
        <w:rPr>
          <w:b/>
        </w:rPr>
        <w:t>benchmark</w:t>
      </w:r>
      <w:r>
        <w:rPr>
          <w:b w:val="0"/>
        </w:rPr>
        <w:t>: 9/10 correct. No outdoor cases are present. The same model is intended for both.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Benchmark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Dataset and benchmark limitations. Name measured setting: All ten benchmark images are clean indoor photos.. Report the result: The observed indoor score is 90%.. Name missing evidence: Outdoor shade performance remains unmeasu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Name measured setting</w:t>
            </w:r>
          </w:p>
        </w:tc>
        <w:tc>
          <w:tcPr>
            <w:tcW w:type="dxa" w:w="5112"/>
          </w:tcPr>
          <w:p>
            <w:r>
              <w:t>All ten benchmark images are clean indoor photos.</w:t>
            </w:r>
          </w:p>
        </w:tc>
      </w:tr>
      <w:tr>
        <w:tc>
          <w:tcPr>
            <w:tcW w:type="dxa" w:w="5112"/>
          </w:tcPr>
          <w:p>
            <w:r>
              <w:t>2. Report the result</w:t>
            </w:r>
          </w:p>
        </w:tc>
        <w:tc>
          <w:tcPr>
            <w:tcW w:type="dxa" w:w="5112"/>
          </w:tcPr>
          <w:p>
            <w:r>
              <w:t>The observed indoor score is 90%.</w:t>
            </w:r>
          </w:p>
        </w:tc>
      </w:tr>
      <w:tr>
        <w:tc>
          <w:tcPr>
            <w:tcW w:type="dxa" w:w="5112"/>
          </w:tcPr>
          <w:p>
            <w:r>
              <w:t>3. Name missing evidence</w:t>
            </w:r>
          </w:p>
        </w:tc>
        <w:tc>
          <w:tcPr>
            <w:tcW w:type="dxa" w:w="5112"/>
          </w:tcPr>
          <w:p>
            <w:r>
              <w:t>Outdoor shade performance remains unmeasured.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represents particular tasks and collection conditions. High performance on it cannot automatically establish fitness for a different deployment setting.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Neither slice estimates all future photos; inspect sampling, labels and grouping.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Report the indoor </w:t>
      </w:r>
      <w:r>
        <w:rPr>
          <w:b/>
        </w:rPr>
        <w:t>benchmark</w:t>
      </w:r>
      <w:r>
        <w:rPr>
          <w:b w:val="0"/>
        </w:rPr>
        <w:t xml:space="preserve"> with its denominator and missing condition. After two correct outdoor cases out of four are added, what slice rate is supported and what remains uncertain?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Add four reserved outdoor cases, of which two are correct.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Dataset and benchmark limitations claim and explain a repair using the supplied evidence.</w:t>
      </w:r>
    </w:p>
    <w:p>
      <w:pPr>
        <w:spacing w:line="336" w:lineRule="auto" w:after="180"/>
      </w:pPr>
      <w:r>
        <w:rPr>
          <w:b/>
        </w:rPr>
        <w:t>Benchmark</w:t>
      </w:r>
      <w:r>
        <w:rPr>
          <w:b w:val="0"/>
        </w:rPr>
        <w:t xml:space="preserve"> success does not establish performance on a deployment population missing from its design.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Benchmark</w:t>
      </w:r>
      <w:r>
        <w:rPr>
          <w:b w:val="0"/>
        </w:rPr>
        <w:t xml:space="preserve"> success does not establish performance on a deployment population missing from its design.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Dataset and benchmark limitations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“Dataset and </w:t>
      </w:r>
      <w:r>
        <w:rPr>
          <w:b/>
        </w:rPr>
        <w:t>benchmark</w:t>
      </w:r>
      <w:r>
        <w:rPr>
          <w:b w:val="0"/>
        </w:rPr>
        <w:t xml:space="preserve"> limitations”.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Dataset and </w:t>
      </w:r>
      <w:r>
        <w:rPr>
          <w:b/>
        </w:rPr>
        <w:t>benchmark</w:t>
      </w:r>
      <w:r>
        <w:rPr>
          <w:b w:val="0"/>
        </w:rPr>
        <w:t xml:space="preserve"> limitations.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Report the indoor </w:t>
      </w:r>
      <w:r>
        <w:rPr>
          <w:b/>
        </w:rPr>
        <w:t>benchmark</w:t>
      </w:r>
      <w:r>
        <w:rPr>
          <w:b w:val="0"/>
        </w:rPr>
        <w:t xml:space="preserve"> with its denominator and missing condition. After two correct outdoor cases out of four are added, what slice rate is supported and what remains uncertain?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Dataset and benchmark limitations.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Ten </w:t>
      </w:r>
      <w:r>
        <w:rPr>
          <w:b/>
        </w:rPr>
        <w:t>benchmark</w:t>
      </w:r>
      <w:r>
        <w:rPr>
          <w:b w:val="0"/>
        </w:rPr>
        <w:t xml:space="preserve"> rows include three copies of one source and seven other unique sources.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Dataset and benchmark limitations.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Benchmark</w:t>
      </w:r>
      <w:r>
        <w:rPr>
          <w:b w:val="0"/>
        </w:rPr>
        <w:t xml:space="preserve"> success does not establish performance on a deployment population missing from its design.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dataset and </w:t>
      </w:r>
      <w:r>
        <w:rPr>
          <w:b/>
        </w:rPr>
        <w:t>benchmark</w:t>
      </w:r>
      <w:r>
        <w:rPr>
          <w:b w:val="0"/>
        </w:rPr>
        <w:t xml:space="preserve"> limitations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dataset and </w:t>
      </w:r>
      <w:r>
        <w:rPr>
          <w:b/>
        </w:rPr>
        <w:t>benchmark</w:t>
      </w:r>
      <w:r>
        <w:rPr>
          <w:b w:val="0"/>
        </w:rPr>
        <w:t xml:space="preserve"> limitations.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Dataset and benchmark limitations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Dataset and benchmark limitations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Ten benchmark rows include three copies of one source and seven other unique sources.</w:t>
            </w:r>
          </w:p>
        </w:tc>
        <w:tc>
          <w:tcPr>
            <w:tcW w:type="dxa" w:w="3408"/>
          </w:tcPr>
          <w:p>
            <w:r>
              <w:t>Inspect eligibility, source dates, related units and label definitions before scoring. Deduplicate by declared unit identity, not merely file name; report excluded and unassessed cases.</w:t>
            </w:r>
          </w:p>
        </w:tc>
        <w:tc>
          <w:tcPr>
            <w:tcW w:type="dxa" w:w="3408"/>
          </w:tcPr>
          <w:p>
            <w:r>
              <w:t>Eight unique source units, not ten independent sources. Identify duplicate weighting before analysis; do not silently discard results.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Twelve rows include four copies of one source and eight others. Count unique units and name one coverage concern.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Twelve rows include four copies of one source and eight others. Count unique units and name one coverage concern.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Dataset and benchmark limitations,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dataset and benchmark limitations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Dataset and benchmark limitations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dataset and </w:t>
      </w:r>
      <w:r>
        <w:rPr>
          <w:b/>
        </w:rPr>
        <w:t>benchmark</w:t>
      </w:r>
      <w:r>
        <w:rPr>
          <w:b w:val="0"/>
        </w:rPr>
        <w:t xml:space="preserve"> limitations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Outdoor shade performance remains unmeasured.</w:t>
      </w:r>
    </w:p>
    <w:p>
      <w:pPr>
        <w:spacing w:line="336" w:lineRule="auto" w:after="180"/>
        <w:shd w:fill="F4F9FC"/>
      </w:pPr>
      <w:r>
        <w:rPr>
          <w:b w:val="0"/>
        </w:rPr>
        <w:t>1. Report the result</w:t>
      </w:r>
    </w:p>
    <w:p>
      <w:pPr>
        <w:spacing w:line="336" w:lineRule="auto" w:after="180"/>
        <w:shd w:fill="F4F9FC"/>
      </w:pPr>
      <w:r>
        <w:rPr>
          <w:b w:val="0"/>
        </w:rPr>
        <w:t>2. Name measured setting</w:t>
      </w:r>
    </w:p>
    <w:p>
      <w:pPr>
        <w:spacing w:line="336" w:lineRule="auto" w:after="180"/>
        <w:shd w:fill="F4F9FC"/>
      </w:pPr>
      <w:r>
        <w:rPr>
          <w:b w:val="0"/>
        </w:rPr>
        <w:t xml:space="preserve">3. Name missing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</w:t>
      </w:r>
      <w:r>
        <w:rPr>
          <w:b/>
        </w:rPr>
        <w:t>evidence</w:t>
      </w:r>
      <w:r>
        <w:rPr>
          <w:b w:val="0"/>
        </w:rPr>
        <w:t xml:space="preserve"> Outdoor shade performance remains unmeasured. A </w:t>
      </w:r>
      <w:r>
        <w:rPr>
          <w:b/>
        </w:rPr>
        <w:t>benchmark</w:t>
      </w:r>
      <w:r>
        <w:rPr>
          <w:b w:val="0"/>
        </w:rPr>
        <w:t xml:space="preserve"> represents particular tasks and collection conditions.</w:t>
      </w:r>
    </w:p>
    <w:p>
      <w:pPr>
        <w:spacing w:line="336" w:lineRule="auto" w:after="180"/>
        <w:shd w:fill="F1F6FC"/>
      </w:pPr>
      <w:r>
        <w:rPr>
          <w:b w:val="0"/>
        </w:rPr>
        <w:t>High performance on it cannot automatically establish fitness for a different deployment setting.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four reserved outdoor cases, of which two are correct.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Report the outdoor slice as 2/4=50%, separately from indoor results.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the outdoor slice as 2/4=50%, separately from indoor results. The new records finally measure the missing condition, with a small denominator.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Sensitivity analysis (ai-7/17). Goal: Explain the </w:t>
      </w:r>
      <w:r>
        <w:rPr>
          <w:b/>
        </w:rPr>
        <w:t>mechanism</w:t>
      </w:r>
      <w:r>
        <w:rPr>
          <w:b w:val="0"/>
        </w:rPr>
        <w:t xml:space="preserve"> and terminology of sensitivity analysis. Short practice: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Dataset and benchmark limitations graphic using its labels, deciding evidence and relevant limitation.</w:t>
      </w:r>
    </w:p>
    <w:p>
      <w:pPr>
        <w:pStyle w:val="Heading3"/>
      </w:pPr>
      <w:r>
        <w:t>01. Dataset and benchmark limitations: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benchmark can miss the intended setting. A plant model is evaluated on clean indoor photos but proposed for shaded outdoor photos. Supplied facts: Indoor benchmark: 9/10 correct. No outdoor cases are present. The same model is intended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 Supplied facts: Indoor </w:t>
      </w:r>
      <w:r>
        <w:rPr>
          <w:b/>
        </w:rPr>
        <w:t>benchmark</w:t>
      </w:r>
      <w:r>
        <w:rPr>
          <w:b w:val="0"/>
        </w:rPr>
        <w:t>: 9/10 correct. No outdoor cases are present.</w:t>
      </w:r>
    </w:p>
    <w:p>
      <w:pPr>
        <w:spacing w:line="336" w:lineRule="auto" w:after="180"/>
      </w:pPr>
      <w:r>
        <w:rPr>
          <w:b w:val="0"/>
        </w:rPr>
        <w:t>The same model is intended for both.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Name measured setting: All ten benchmark images are clean indoor photos. → Report the result: The observed indoor score is 90%. → Name missing evidence: Outdoor shade performance remains unmeasu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measured setting: All ten </w:t>
      </w:r>
      <w:r>
        <w:rPr>
          <w:b/>
        </w:rPr>
        <w:t>benchmark</w:t>
      </w:r>
      <w:r>
        <w:rPr>
          <w:b w:val="0"/>
        </w:rPr>
        <w:t xml:space="preserve"> images are clean indoor photos. → Report the result: The observed indoor score is 90%. → Name missing </w:t>
      </w:r>
      <w:r>
        <w:rPr>
          <w:b/>
        </w:rPr>
        <w:t>evidence</w:t>
      </w:r>
      <w:r>
        <w:rPr>
          <w:b w:val="0"/>
        </w:rPr>
        <w:t>: Outdoor shade performance remains unmeasured.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Benchmark conditions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Benchmark conditions. Indoor benchmark: Correct = 9, Total = 10. Added outdoor slice: Correct = 2, Total =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Benchmark</w:t>
      </w:r>
      <w:r>
        <w:rPr>
          <w:b w:val="0"/>
        </w:rPr>
        <w:t xml:space="preserve"> conditions. Indoor </w:t>
      </w:r>
      <w:r>
        <w:rPr>
          <w:b/>
        </w:rPr>
        <w:t>benchmark</w:t>
      </w:r>
      <w:r>
        <w:rPr>
          <w:b w:val="0"/>
        </w:rPr>
        <w:t>: Correct = 9, Total = 10. Added outdoor slice: Correct = 2, Total =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Outdoor shade performance remains unmeasured. Changed condition: Add four reserved outdoor cases, of which two are correct. Expected result: Report the outdoor slice as 2/4=50%, separately from indoor results. Reason: The new records finally measure the missing condition, with a small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Outdoor shade performance remains unmeasured. Changed condition: Add four reserved outdoor cases, of which two are correct. Expected result: Report the outdoor slice as 2/4=50%, separately from indoor results.</w:t>
      </w:r>
    </w:p>
    <w:p>
      <w:pPr>
        <w:spacing w:line="336" w:lineRule="auto" w:after="180"/>
      </w:pPr>
      <w:r>
        <w:rPr>
          <w:b w:val="0"/>
        </w:rPr>
        <w:t>Reason: The new records finally measure the missing condition, with a small denominator.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benchmark represents particular tasks and collection conditions. High performance on it cannot automatically establish fitness for a different deployment setting. Limit: Neither slice estimates all future photos; inspect sampling, labels and group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represents particular tasks and collection conditions. High performance on it cannot automatically establish fitness for a different deployment setting.</w:t>
      </w:r>
    </w:p>
    <w:p>
      <w:pPr>
        <w:spacing w:line="336" w:lineRule="auto" w:after="180"/>
      </w:pPr>
      <w:r>
        <w:rPr>
          <w:b w:val="0"/>
        </w:rPr>
        <w:t>Limit: Neither slice estimates all future photos; inspect sampling, labels and grouping.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Report the indoor benchmark with its denominator and missing condition. After two correct outdoor cases out of four are added, what slice rate is supported and what remains uncertai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Report the indoor </w:t>
      </w:r>
      <w:r>
        <w:rPr>
          <w:b/>
        </w:rPr>
        <w:t>benchmark</w:t>
      </w:r>
      <w:r>
        <w:rPr>
          <w:b w:val="0"/>
        </w:rPr>
        <w:t xml:space="preserve">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